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87668D" w:rsidRDefault="0087668D" w:rsidP="0087668D">
      <w:pPr>
        <w:pStyle w:val="Heading1"/>
        <w:rPr>
          <w:b/>
          <w:color w:val="auto"/>
        </w:rPr>
      </w:pPr>
    </w:p>
    <w:p w:rsidR="004B422A" w:rsidRDefault="004B422A" w:rsidP="0087668D">
      <w:pPr>
        <w:pStyle w:val="Heading1"/>
        <w:rPr>
          <w:b/>
          <w:bCs/>
          <w:color w:val="auto"/>
          <w:lang w:val="en-GB" w:bidi="en-GB"/>
        </w:rPr>
      </w:pPr>
      <w:r w:rsidRPr="004B422A">
        <w:rPr>
          <w:b/>
          <w:bCs/>
          <w:color w:val="auto"/>
          <w:lang w:val="en-GB" w:bidi="en-GB"/>
        </w:rPr>
        <w:t>Surgical treatment of urinary incontinence</w:t>
      </w:r>
    </w:p>
    <w:p w:rsidR="0087668D" w:rsidRPr="00304C29" w:rsidRDefault="0087668D" w:rsidP="0087668D">
      <w:pPr>
        <w:pStyle w:val="Heading1"/>
        <w:rPr>
          <w:rFonts w:ascii="Times New Roman" w:hAnsi="Times New Roman" w:cs="Times New Roman"/>
          <w:b/>
          <w:color w:val="auto"/>
          <w:sz w:val="24"/>
          <w:szCs w:val="24"/>
        </w:rPr>
      </w:pPr>
      <w:r>
        <w:rPr>
          <w:rFonts w:ascii="Times New Roman" w:hAnsi="Times New Roman" w:cs="Times New Roman"/>
          <w:b/>
          <w:bCs/>
          <w:noProof/>
          <w:color w:val="auto"/>
          <w:sz w:val="24"/>
          <w:szCs w:val="24"/>
          <w:lang w:eastAsia="et-EE"/>
        </w:rPr>
        <mc:AlternateContent>
          <mc:Choice Requires="wps">
            <w:drawing>
              <wp:anchor distT="0" distB="0" distL="114300" distR="114300" simplePos="0" relativeHeight="251660288" behindDoc="1" locked="0" layoutInCell="1" allowOverlap="1" wp14:anchorId="45B24EB6" wp14:editId="648283F7">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Rg-kood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B24EB6" id="_x0000_t202" coordsize="21600,21600" o:spt="202" path="m,l,21600r21600,l21600,xe">
                <v:stroke joinstyle="miter"/>
                <v:path gradientshapeok="t" o:connecttype="rect"/>
              </v:shapetype>
              <v:shape id="Text Box 2" o:spid="_x0000_s1026" type="#_x0000_t202" style="position:absolute;margin-left:311.8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v:textbox>
                <w10:wrap anchory="page"/>
              </v:shape>
            </w:pict>
          </mc:Fallback>
        </mc:AlternateContent>
      </w:r>
      <w:r>
        <w:rPr>
          <w:rFonts w:ascii="Times New Roman" w:hAnsi="Times New Roman" w:cs="Times New Roman"/>
          <w:b/>
          <w:bCs/>
          <w:noProof/>
          <w:color w:val="auto"/>
          <w:sz w:val="24"/>
          <w:szCs w:val="24"/>
          <w:lang w:eastAsia="et-EE"/>
        </w:rPr>
        <w:drawing>
          <wp:anchor distT="0" distB="0" distL="114300" distR="114300" simplePos="0" relativeHeight="251659264" behindDoc="1" locked="0" layoutInCell="1" allowOverlap="1" wp14:anchorId="7E0D917D" wp14:editId="699364CA">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1">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auto"/>
          <w:sz w:val="24"/>
          <w:szCs w:val="24"/>
          <w:lang w:val="en-GB"/>
        </w:rPr>
        <w:t xml:space="preserve"> </w:t>
      </w:r>
    </w:p>
    <w:p w:rsidR="0087668D" w:rsidRPr="004C38B2" w:rsidRDefault="0087668D" w:rsidP="004C38B2">
      <w:pPr>
        <w:autoSpaceDE w:val="0"/>
        <w:autoSpaceDN w:val="0"/>
        <w:adjustRightInd w:val="0"/>
        <w:jc w:val="both"/>
        <w:rPr>
          <w:rFonts w:asciiTheme="minorHAnsi" w:hAnsiTheme="minorHAnsi"/>
        </w:rPr>
      </w:pPr>
      <w:r w:rsidRPr="004C38B2">
        <w:rPr>
          <w:rFonts w:asciiTheme="minorHAnsi" w:hAnsiTheme="minorHAnsi"/>
        </w:rPr>
        <w:t>Patient information</w:t>
      </w:r>
    </w:p>
    <w:p w:rsidR="00980363" w:rsidRPr="004C38B2" w:rsidRDefault="00980363" w:rsidP="004C38B2">
      <w:pPr>
        <w:autoSpaceDE w:val="0"/>
        <w:autoSpaceDN w:val="0"/>
        <w:adjustRightInd w:val="0"/>
        <w:jc w:val="both"/>
        <w:rPr>
          <w:rFonts w:asciiTheme="minorHAnsi" w:hAnsiTheme="minorHAnsi"/>
        </w:rPr>
      </w:pPr>
    </w:p>
    <w:p w:rsidR="0087668D" w:rsidRPr="004C38B2" w:rsidRDefault="0087668D" w:rsidP="004C38B2">
      <w:pPr>
        <w:autoSpaceDE w:val="0"/>
        <w:autoSpaceDN w:val="0"/>
        <w:adjustRightInd w:val="0"/>
        <w:jc w:val="both"/>
        <w:rPr>
          <w:rFonts w:asciiTheme="minorHAnsi" w:hAnsiTheme="minorHAnsi"/>
        </w:rPr>
      </w:pP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The purpose of this information sheet is to provide patients with information about the nature and types of urinary incontinence as well as options for treatment.</w:t>
      </w:r>
    </w:p>
    <w:p w:rsidR="000844F3" w:rsidRPr="000844F3" w:rsidRDefault="000844F3" w:rsidP="000844F3">
      <w:pPr>
        <w:jc w:val="both"/>
        <w:rPr>
          <w:rFonts w:asciiTheme="minorHAnsi" w:eastAsia="Arial" w:hAnsiTheme="minorHAnsi" w:cstheme="minorHAnsi"/>
          <w:bCs/>
          <w:color w:val="231F1F"/>
          <w:lang w:bidi="en-GB"/>
        </w:rPr>
      </w:pP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Around 10% of women suffer from urinary incontinence, almost 20% of whom are women over 65 years of age.</w:t>
      </w: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 xml:space="preserve"> </w:t>
      </w:r>
    </w:p>
    <w:p w:rsidR="000844F3" w:rsidRPr="000844F3" w:rsidRDefault="000844F3" w:rsidP="000844F3">
      <w:pPr>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The following factors contribute to urinary incontinence:</w:t>
      </w:r>
      <w:r w:rsidRPr="000844F3">
        <w:rPr>
          <w:rFonts w:asciiTheme="minorHAnsi" w:eastAsia="Arial" w:hAnsiTheme="minorHAnsi" w:cstheme="minorHAnsi"/>
          <w:color w:val="231F1F"/>
          <w:lang w:bidi="en-GB"/>
        </w:rPr>
        <w:br/>
      </w:r>
    </w:p>
    <w:p w:rsidR="000844F3" w:rsidRPr="000844F3" w:rsidRDefault="000844F3" w:rsidP="000844F3">
      <w:pPr>
        <w:numPr>
          <w:ilvl w:val="0"/>
          <w:numId w:val="48"/>
        </w:num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previous pregnancy and delivery (damage to the birth canal)</w:t>
      </w:r>
    </w:p>
    <w:p w:rsidR="000844F3" w:rsidRPr="000844F3" w:rsidRDefault="000844F3" w:rsidP="000844F3">
      <w:pPr>
        <w:numPr>
          <w:ilvl w:val="0"/>
          <w:numId w:val="48"/>
        </w:num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congenital weakness of the connective tissue</w:t>
      </w:r>
    </w:p>
    <w:p w:rsidR="000844F3" w:rsidRPr="000844F3" w:rsidRDefault="000844F3" w:rsidP="000844F3">
      <w:pPr>
        <w:numPr>
          <w:ilvl w:val="0"/>
          <w:numId w:val="48"/>
        </w:num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menopause or climax (with oestrogen deficiency)</w:t>
      </w:r>
    </w:p>
    <w:p w:rsidR="000844F3" w:rsidRPr="000844F3" w:rsidRDefault="000844F3" w:rsidP="000844F3">
      <w:pPr>
        <w:numPr>
          <w:ilvl w:val="0"/>
          <w:numId w:val="48"/>
        </w:num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heavy physical activity</w:t>
      </w:r>
    </w:p>
    <w:p w:rsidR="000844F3" w:rsidRPr="000844F3" w:rsidRDefault="000844F3" w:rsidP="000844F3">
      <w:pPr>
        <w:numPr>
          <w:ilvl w:val="0"/>
          <w:numId w:val="48"/>
        </w:num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age-related changes (decrease in the volume and elasticity of the urinary bladder)</w:t>
      </w:r>
    </w:p>
    <w:p w:rsidR="000844F3" w:rsidRPr="000844F3" w:rsidRDefault="000844F3" w:rsidP="000844F3">
      <w:pPr>
        <w:numPr>
          <w:ilvl w:val="0"/>
          <w:numId w:val="48"/>
        </w:num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neurological disorders</w:t>
      </w:r>
    </w:p>
    <w:p w:rsidR="000844F3" w:rsidRPr="000844F3" w:rsidRDefault="000844F3" w:rsidP="000844F3">
      <w:pPr>
        <w:numPr>
          <w:ilvl w:val="0"/>
          <w:numId w:val="48"/>
        </w:num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damage to the brain and spinal cord</w:t>
      </w:r>
    </w:p>
    <w:p w:rsidR="000844F3" w:rsidRPr="000844F3" w:rsidRDefault="000844F3" w:rsidP="000844F3">
      <w:pPr>
        <w:jc w:val="both"/>
        <w:rPr>
          <w:rFonts w:asciiTheme="minorHAnsi" w:eastAsia="Arial" w:hAnsiTheme="minorHAnsi" w:cstheme="minorHAnsi"/>
          <w:bCs/>
          <w:color w:val="231F1F"/>
          <w:lang w:bidi="en-GB"/>
        </w:rPr>
      </w:pP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There are several types of urinary incontinence, the most common being stress incontinence (or effort incontinence) and urgency incontinence (or impulsive incontinence).</w:t>
      </w:r>
    </w:p>
    <w:p w:rsidR="000844F3" w:rsidRPr="000844F3" w:rsidRDefault="000844F3" w:rsidP="000844F3">
      <w:pPr>
        <w:jc w:val="both"/>
        <w:rPr>
          <w:rFonts w:asciiTheme="minorHAnsi" w:eastAsia="Arial" w:hAnsiTheme="minorHAnsi" w:cstheme="minorHAnsi"/>
          <w:bCs/>
          <w:color w:val="231F1F"/>
          <w:lang w:bidi="en-GB"/>
        </w:rPr>
      </w:pP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Stress incontinence or effort incontinence occurs in 20-40% of cases as an involuntary leakage of urine during physical effort (jumping, running, coughing). It is caused by weakness of the connective tissue and muscles of the pelvis and low intraurethral pressure. For mild stress incontinence, regular and proper training of the pelvic diaphragm muscles are useful.</w:t>
      </w:r>
    </w:p>
    <w:p w:rsidR="000844F3" w:rsidRPr="000844F3" w:rsidRDefault="000844F3" w:rsidP="000844F3">
      <w:pPr>
        <w:jc w:val="both"/>
        <w:rPr>
          <w:rFonts w:asciiTheme="minorHAnsi" w:eastAsia="Arial" w:hAnsiTheme="minorHAnsi" w:cstheme="minorHAnsi"/>
          <w:bCs/>
          <w:color w:val="231F1F"/>
          <w:lang w:bidi="en-GB"/>
        </w:rPr>
      </w:pP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With urgency incontinence (occurs in 45-60% of cases), bladder filling control is affected. The irritability of the bladder increases and control of the urination reflex decreases. Such urinary incontinence can be alleviated with medications and urinary bladder training.</w:t>
      </w:r>
    </w:p>
    <w:p w:rsidR="000844F3" w:rsidRPr="000844F3" w:rsidRDefault="000844F3" w:rsidP="000844F3">
      <w:pPr>
        <w:jc w:val="both"/>
        <w:rPr>
          <w:rFonts w:asciiTheme="minorHAnsi" w:eastAsia="Arial" w:hAnsiTheme="minorHAnsi" w:cstheme="minorHAnsi"/>
          <w:bCs/>
          <w:color w:val="231F1F"/>
          <w:lang w:bidi="en-GB"/>
        </w:rPr>
      </w:pP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Both types of urinary incontinence can also occur simultaneously (mixed urinary incontinence). To clarify the diagnosis and plan treatment, the doctor prescribes tests and additional examinations, if necessary.</w:t>
      </w:r>
    </w:p>
    <w:p w:rsidR="000844F3" w:rsidRPr="000844F3" w:rsidRDefault="000844F3" w:rsidP="000844F3">
      <w:pPr>
        <w:jc w:val="both"/>
        <w:rPr>
          <w:rFonts w:asciiTheme="minorHAnsi" w:eastAsia="Arial" w:hAnsiTheme="minorHAnsi" w:cstheme="minorHAnsi"/>
          <w:bCs/>
          <w:color w:val="231F1F"/>
          <w:lang w:bidi="en-GB"/>
        </w:rPr>
      </w:pP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Surgical treatment is indicated for stress and mixed urinary incontinence.</w:t>
      </w:r>
    </w:p>
    <w:p w:rsidR="000844F3" w:rsidRPr="000844F3" w:rsidRDefault="000844F3" w:rsidP="000844F3">
      <w:pPr>
        <w:jc w:val="both"/>
        <w:rPr>
          <w:rFonts w:asciiTheme="minorHAnsi" w:eastAsia="Arial" w:hAnsiTheme="minorHAnsi" w:cstheme="minorHAnsi"/>
          <w:b/>
          <w:bCs/>
          <w:color w:val="231F1F"/>
          <w:lang w:bidi="en-GB"/>
        </w:rPr>
      </w:pPr>
      <w:r w:rsidRPr="000844F3">
        <w:rPr>
          <w:rFonts w:asciiTheme="minorHAnsi" w:eastAsia="Arial" w:hAnsiTheme="minorHAnsi" w:cstheme="minorHAnsi"/>
          <w:b/>
          <w:bCs/>
          <w:color w:val="231F1F"/>
          <w:lang w:bidi="en-GB"/>
        </w:rPr>
        <w:br w:type="page"/>
      </w: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b/>
          <w:bCs/>
          <w:color w:val="231F1F"/>
          <w:lang w:bidi="en-GB"/>
        </w:rPr>
        <w:lastRenderedPageBreak/>
        <w:t>Description of surgery</w:t>
      </w:r>
    </w:p>
    <w:p w:rsidR="000844F3" w:rsidRPr="000844F3" w:rsidRDefault="000844F3" w:rsidP="000844F3">
      <w:pPr>
        <w:jc w:val="both"/>
        <w:rPr>
          <w:rFonts w:asciiTheme="minorHAnsi" w:eastAsia="Arial" w:hAnsiTheme="minorHAnsi" w:cstheme="minorHAnsi"/>
          <w:bCs/>
          <w:color w:val="231F1F"/>
          <w:lang w:bidi="en-GB"/>
        </w:rPr>
      </w:pP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The purpose of the surgery is to strengthen the junction of the urethra and urinary bladder to prevent stress opening of the urethra. For strengthening, a special prosthesis loop is used, which is applied under the urethra during surgery. Small incisions are made in the vaginal and groin area. The sutures are resorbed on their own and do not need to be removed.</w:t>
      </w:r>
    </w:p>
    <w:p w:rsidR="000844F3" w:rsidRPr="000844F3" w:rsidRDefault="000844F3" w:rsidP="000844F3">
      <w:pPr>
        <w:jc w:val="both"/>
        <w:rPr>
          <w:rFonts w:asciiTheme="minorHAnsi" w:eastAsia="Arial" w:hAnsiTheme="minorHAnsi" w:cstheme="minorHAnsi"/>
          <w:b/>
          <w:bCs/>
          <w:color w:val="231F1F"/>
          <w:lang w:bidi="en-GB"/>
        </w:rPr>
      </w:pPr>
      <w:r w:rsidRPr="000844F3">
        <w:rPr>
          <w:rFonts w:asciiTheme="minorHAnsi" w:eastAsia="Arial" w:hAnsiTheme="minorHAnsi" w:cstheme="minorHAnsi"/>
          <w:color w:val="231F1F"/>
          <w:lang w:bidi="en-GB"/>
        </w:rPr>
        <w:t xml:space="preserve">For the surgery, you need to come to the hospital in the morning. </w:t>
      </w:r>
      <w:r w:rsidRPr="000844F3">
        <w:rPr>
          <w:rFonts w:asciiTheme="minorHAnsi" w:eastAsia="Arial" w:hAnsiTheme="minorHAnsi" w:cstheme="minorHAnsi"/>
          <w:b/>
          <w:bCs/>
          <w:color w:val="231F1F"/>
          <w:lang w:bidi="en-GB"/>
        </w:rPr>
        <w:t>To prevent anaesthesia-related complications, you should not eat for at least six hours or drink for at least two hours before surgery. You should also stop smoking and chewing gum for six hours before surgery.</w:t>
      </w:r>
    </w:p>
    <w:p w:rsidR="000844F3" w:rsidRPr="000844F3" w:rsidRDefault="000844F3" w:rsidP="000844F3">
      <w:pPr>
        <w:jc w:val="both"/>
        <w:rPr>
          <w:rFonts w:asciiTheme="minorHAnsi" w:eastAsia="Arial" w:hAnsiTheme="minorHAnsi" w:cstheme="minorHAnsi"/>
          <w:bCs/>
          <w:color w:val="231F1F"/>
          <w:lang w:bidi="en-GB"/>
        </w:rPr>
      </w:pPr>
    </w:p>
    <w:p w:rsidR="000844F3" w:rsidRPr="000844F3" w:rsidRDefault="000844F3" w:rsidP="000844F3">
      <w:pPr>
        <w:jc w:val="both"/>
        <w:rPr>
          <w:rFonts w:asciiTheme="minorHAnsi" w:eastAsia="Arial" w:hAnsiTheme="minorHAnsi" w:cstheme="minorHAnsi"/>
          <w:b/>
          <w:bCs/>
          <w:color w:val="231F1F"/>
          <w:lang w:bidi="en-GB"/>
        </w:rPr>
      </w:pPr>
      <w:r w:rsidRPr="000844F3">
        <w:rPr>
          <w:rFonts w:asciiTheme="minorHAnsi" w:eastAsia="Arial" w:hAnsiTheme="minorHAnsi" w:cstheme="minorHAnsi"/>
          <w:b/>
          <w:bCs/>
          <w:color w:val="231F1F"/>
          <w:lang w:bidi="en-GB"/>
        </w:rPr>
        <w:t>Post-surgery period</w:t>
      </w:r>
    </w:p>
    <w:p w:rsidR="000844F3" w:rsidRPr="000844F3" w:rsidRDefault="000844F3" w:rsidP="000844F3">
      <w:pPr>
        <w:jc w:val="both"/>
        <w:rPr>
          <w:rFonts w:asciiTheme="minorHAnsi" w:eastAsia="Arial" w:hAnsiTheme="minorHAnsi" w:cstheme="minorHAnsi"/>
          <w:bCs/>
          <w:color w:val="231F1F"/>
          <w:lang w:bidi="en-GB"/>
        </w:rPr>
      </w:pP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As a rule, the patient is discharged home the same day. To achieve a good and long lasting result, you should avoid physical exercise, lifting weights over 5 kg, sports, sexual activity, bathing, swimming and using tampons for one month after the surgery.</w:t>
      </w:r>
    </w:p>
    <w:p w:rsidR="000844F3" w:rsidRPr="000844F3" w:rsidRDefault="000844F3" w:rsidP="000844F3">
      <w:pPr>
        <w:jc w:val="both"/>
        <w:rPr>
          <w:rFonts w:asciiTheme="minorHAnsi" w:eastAsia="Arial" w:hAnsiTheme="minorHAnsi" w:cstheme="minorHAnsi"/>
          <w:bCs/>
          <w:color w:val="231F1F"/>
          <w:lang w:bidi="en-GB"/>
        </w:rPr>
      </w:pP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You should return to the hospital if you have severe abdominal pain, vaginal bleeding, difficulty urinating or a fever above 38 °C after surgery.</w:t>
      </w:r>
    </w:p>
    <w:p w:rsidR="000844F3" w:rsidRPr="000844F3" w:rsidRDefault="000844F3" w:rsidP="000844F3">
      <w:pPr>
        <w:jc w:val="both"/>
        <w:rPr>
          <w:rFonts w:asciiTheme="minorHAnsi" w:eastAsia="Arial" w:hAnsiTheme="minorHAnsi" w:cstheme="minorHAnsi"/>
          <w:bCs/>
          <w:color w:val="231F1F"/>
          <w:lang w:bidi="en-GB"/>
        </w:rPr>
      </w:pPr>
    </w:p>
    <w:p w:rsidR="000844F3" w:rsidRPr="000844F3" w:rsidRDefault="000844F3" w:rsidP="000844F3">
      <w:pPr>
        <w:jc w:val="both"/>
        <w:rPr>
          <w:rFonts w:asciiTheme="minorHAnsi" w:eastAsia="Arial" w:hAnsiTheme="minorHAnsi" w:cstheme="minorHAnsi"/>
          <w:b/>
          <w:bCs/>
          <w:color w:val="231F1F"/>
          <w:lang w:bidi="en-GB"/>
        </w:rPr>
      </w:pPr>
      <w:r w:rsidRPr="000844F3">
        <w:rPr>
          <w:rFonts w:asciiTheme="minorHAnsi" w:eastAsia="Arial" w:hAnsiTheme="minorHAnsi" w:cstheme="minorHAnsi"/>
          <w:b/>
          <w:bCs/>
          <w:color w:val="231F1F"/>
          <w:lang w:bidi="en-GB"/>
        </w:rPr>
        <w:t>Possible complications after surgery</w:t>
      </w:r>
    </w:p>
    <w:p w:rsidR="000844F3" w:rsidRPr="000844F3" w:rsidRDefault="000844F3" w:rsidP="000844F3">
      <w:pPr>
        <w:jc w:val="both"/>
        <w:rPr>
          <w:rFonts w:asciiTheme="minorHAnsi" w:eastAsia="Arial" w:hAnsiTheme="minorHAnsi" w:cstheme="minorHAnsi"/>
          <w:bCs/>
          <w:color w:val="231F1F"/>
          <w:lang w:bidi="en-GB"/>
        </w:rPr>
      </w:pP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 xml:space="preserve">No surgical intervention is without risk, and this surgery can also be associated with complications. The risk of injury to the urinary bladder during surgery is 1-4%. </w:t>
      </w: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 xml:space="preserve">After the surgery, the following can be seen: </w:t>
      </w:r>
    </w:p>
    <w:p w:rsidR="000844F3" w:rsidRPr="000844F3" w:rsidRDefault="000844F3" w:rsidP="000844F3">
      <w:pPr>
        <w:numPr>
          <w:ilvl w:val="0"/>
          <w:numId w:val="47"/>
        </w:num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 xml:space="preserve">abnormal urination in 4% </w:t>
      </w:r>
    </w:p>
    <w:p w:rsidR="000844F3" w:rsidRPr="000844F3" w:rsidRDefault="000844F3" w:rsidP="000844F3">
      <w:pPr>
        <w:numPr>
          <w:ilvl w:val="0"/>
          <w:numId w:val="47"/>
        </w:num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 xml:space="preserve">bleeding in 0.5% </w:t>
      </w:r>
    </w:p>
    <w:p w:rsidR="000844F3" w:rsidRPr="000844F3" w:rsidRDefault="000844F3" w:rsidP="000844F3">
      <w:pPr>
        <w:numPr>
          <w:ilvl w:val="0"/>
          <w:numId w:val="47"/>
        </w:num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 xml:space="preserve">haemorrhages in 1.5% </w:t>
      </w:r>
    </w:p>
    <w:p w:rsidR="000844F3" w:rsidRPr="000844F3" w:rsidRDefault="000844F3" w:rsidP="000844F3">
      <w:pPr>
        <w:numPr>
          <w:ilvl w:val="0"/>
          <w:numId w:val="47"/>
        </w:num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deep vein thrombosis in 0.7%</w:t>
      </w:r>
    </w:p>
    <w:p w:rsidR="000844F3" w:rsidRPr="000844F3" w:rsidRDefault="000844F3" w:rsidP="000844F3">
      <w:pPr>
        <w:numPr>
          <w:ilvl w:val="0"/>
          <w:numId w:val="47"/>
        </w:num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surgical wound inflammation in 0.1% of patients</w:t>
      </w:r>
    </w:p>
    <w:p w:rsidR="000844F3" w:rsidRPr="000844F3" w:rsidRDefault="000844F3" w:rsidP="000844F3">
      <w:pPr>
        <w:jc w:val="both"/>
        <w:rPr>
          <w:rFonts w:asciiTheme="minorHAnsi" w:eastAsia="Arial" w:hAnsiTheme="minorHAnsi" w:cstheme="minorHAnsi"/>
          <w:bCs/>
          <w:color w:val="231F1F"/>
          <w:lang w:bidi="en-GB"/>
        </w:rPr>
      </w:pP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If complications occur, hospitalisation is usually necessary.</w:t>
      </w:r>
    </w:p>
    <w:p w:rsidR="000844F3" w:rsidRPr="000844F3" w:rsidRDefault="000844F3" w:rsidP="000844F3">
      <w:pPr>
        <w:jc w:val="both"/>
        <w:rPr>
          <w:rFonts w:asciiTheme="minorHAnsi" w:eastAsia="Arial" w:hAnsiTheme="minorHAnsi" w:cstheme="minorHAnsi"/>
          <w:bCs/>
          <w:color w:val="231F1F"/>
          <w:lang w:bidi="en-GB"/>
        </w:rPr>
      </w:pPr>
    </w:p>
    <w:p w:rsidR="000844F3" w:rsidRPr="000844F3" w:rsidRDefault="000844F3" w:rsidP="000844F3">
      <w:pPr>
        <w:jc w:val="both"/>
        <w:rPr>
          <w:rFonts w:asciiTheme="minorHAnsi" w:eastAsia="Arial" w:hAnsiTheme="minorHAnsi" w:cstheme="minorHAnsi"/>
          <w:bCs/>
          <w:color w:val="231F1F"/>
          <w:lang w:bidi="en-GB"/>
        </w:rPr>
      </w:pPr>
      <w:r w:rsidRPr="000844F3">
        <w:rPr>
          <w:rFonts w:asciiTheme="minorHAnsi" w:eastAsia="Arial" w:hAnsiTheme="minorHAnsi" w:cstheme="minorHAnsi"/>
          <w:color w:val="231F1F"/>
          <w:lang w:bidi="en-GB"/>
        </w:rPr>
        <w:t>The effectiveness of the surgical method is high; complaints of urinary incontinence disappear in 90-95% of patients.</w:t>
      </w:r>
    </w:p>
    <w:p w:rsidR="00EA482C" w:rsidRDefault="00EA482C" w:rsidP="003079B3">
      <w:pPr>
        <w:jc w:val="both"/>
        <w:rPr>
          <w:rFonts w:asciiTheme="minorHAnsi" w:eastAsia="Arial" w:hAnsiTheme="minorHAnsi" w:cs="Arial"/>
          <w:b/>
          <w:color w:val="231F1F"/>
          <w:sz w:val="23"/>
          <w:szCs w:val="23"/>
          <w:lang w:val="et-EE"/>
        </w:rPr>
      </w:pPr>
    </w:p>
    <w:p w:rsidR="004A4A2A" w:rsidRDefault="004A4A2A" w:rsidP="003079B3">
      <w:pPr>
        <w:jc w:val="both"/>
        <w:rPr>
          <w:rFonts w:asciiTheme="minorHAnsi" w:eastAsia="Arial" w:hAnsiTheme="minorHAnsi" w:cs="Arial"/>
          <w:b/>
          <w:color w:val="231F1F"/>
          <w:sz w:val="23"/>
          <w:szCs w:val="23"/>
          <w:lang w:val="et-EE"/>
        </w:rPr>
      </w:pPr>
    </w:p>
    <w:p w:rsidR="004A4A2A" w:rsidRDefault="004A4A2A" w:rsidP="003079B3">
      <w:pPr>
        <w:jc w:val="both"/>
        <w:rPr>
          <w:rFonts w:asciiTheme="minorHAnsi" w:eastAsia="Arial" w:hAnsiTheme="minorHAnsi" w:cs="Arial"/>
          <w:b/>
          <w:color w:val="231F1F"/>
          <w:sz w:val="23"/>
          <w:szCs w:val="23"/>
          <w:lang w:val="et-EE"/>
        </w:rPr>
      </w:pPr>
    </w:p>
    <w:p w:rsidR="00EA482C" w:rsidRPr="003079B3" w:rsidRDefault="00EA482C" w:rsidP="003079B3">
      <w:pPr>
        <w:jc w:val="both"/>
        <w:rPr>
          <w:rFonts w:asciiTheme="minorHAnsi" w:eastAsia="Arial" w:hAnsiTheme="minorHAnsi" w:cs="Arial"/>
          <w:b/>
          <w:color w:val="231F1F"/>
          <w:sz w:val="23"/>
          <w:szCs w:val="23"/>
          <w:lang w:val="et-EE"/>
        </w:rPr>
      </w:pPr>
    </w:p>
    <w:p w:rsidR="00AD77AD" w:rsidRDefault="00AD77AD" w:rsidP="0087668D">
      <w:pPr>
        <w:autoSpaceDE w:val="0"/>
        <w:autoSpaceDN w:val="0"/>
        <w:adjustRightInd w:val="0"/>
        <w:ind w:left="5664" w:firstLine="708"/>
        <w:jc w:val="both"/>
        <w:rPr>
          <w:rFonts w:asciiTheme="minorHAnsi" w:hAnsiTheme="minorHAnsi" w:cs="Segoe UI"/>
          <w:color w:val="444444"/>
          <w:sz w:val="20"/>
          <w:szCs w:val="20"/>
        </w:rPr>
      </w:pPr>
    </w:p>
    <w:p w:rsidR="0030759B" w:rsidRPr="0030759B" w:rsidRDefault="0030759B" w:rsidP="006E65F2">
      <w:pPr>
        <w:autoSpaceDE w:val="0"/>
        <w:autoSpaceDN w:val="0"/>
        <w:adjustRightInd w:val="0"/>
        <w:ind w:left="5664" w:right="454" w:firstLine="708"/>
        <w:rPr>
          <w:rFonts w:ascii="Calibri" w:eastAsia="Calibri" w:hAnsi="Calibri" w:cs="Calibri"/>
          <w:color w:val="000000"/>
          <w:sz w:val="20"/>
          <w:szCs w:val="20"/>
          <w:lang w:val="et-EE" w:eastAsia="et-EE"/>
        </w:rPr>
      </w:pPr>
      <w:r>
        <w:rPr>
          <w:rFonts w:ascii="Calibri" w:eastAsia="Calibri" w:hAnsi="Calibri" w:cs="Calibri"/>
          <w:color w:val="000000"/>
          <w:sz w:val="20"/>
          <w:szCs w:val="20"/>
          <w:lang w:val="et-EE" w:eastAsia="et-EE"/>
        </w:rPr>
        <w:t>ITK</w:t>
      </w:r>
      <w:r w:rsidR="005474CE">
        <w:rPr>
          <w:rFonts w:ascii="Calibri" w:eastAsia="Calibri" w:hAnsi="Calibri" w:cs="Calibri"/>
          <w:color w:val="000000"/>
          <w:sz w:val="20"/>
          <w:szCs w:val="20"/>
          <w:lang w:val="et-EE" w:eastAsia="et-EE"/>
        </w:rPr>
        <w:t>1082</w:t>
      </w:r>
    </w:p>
    <w:p w:rsidR="005474CE" w:rsidRPr="007E66D3" w:rsidRDefault="005474CE" w:rsidP="005474CE">
      <w:pPr>
        <w:autoSpaceDE w:val="0"/>
        <w:autoSpaceDN w:val="0"/>
        <w:adjustRightInd w:val="0"/>
        <w:ind w:left="6372" w:right="454"/>
        <w:jc w:val="both"/>
        <w:rPr>
          <w:rFonts w:asciiTheme="minorHAnsi" w:hAnsiTheme="minorHAnsi" w:cs="ArialMT"/>
          <w:sz w:val="20"/>
          <w:szCs w:val="20"/>
        </w:rPr>
      </w:pPr>
      <w:r w:rsidRPr="0030759B">
        <w:rPr>
          <w:rFonts w:ascii="Calibri" w:eastAsia="Calibri" w:hAnsi="Calibri" w:cs="Calibri"/>
          <w:color w:val="000000"/>
          <w:sz w:val="20"/>
          <w:szCs w:val="20"/>
          <w:lang w:val="et-EE" w:eastAsia="et-EE"/>
        </w:rPr>
        <w:t>Approved by the decision of the Care Quality Commission of East</w:t>
      </w:r>
      <w:r>
        <w:rPr>
          <w:rFonts w:ascii="Calibri" w:eastAsia="Calibri" w:hAnsi="Calibri" w:cs="Calibri"/>
          <w:color w:val="000000"/>
          <w:sz w:val="20"/>
          <w:szCs w:val="20"/>
          <w:lang w:val="et-EE" w:eastAsia="et-EE"/>
        </w:rPr>
        <w:t xml:space="preserve"> Tallinn Central Hospital on 20.04</w:t>
      </w:r>
      <w:r w:rsidRPr="0030759B">
        <w:rPr>
          <w:rFonts w:ascii="Calibri" w:eastAsia="Calibri" w:hAnsi="Calibri" w:cs="Calibri"/>
          <w:color w:val="000000"/>
          <w:sz w:val="20"/>
          <w:szCs w:val="20"/>
          <w:lang w:val="et-EE" w:eastAsia="et-EE"/>
        </w:rPr>
        <w:t>.20</w:t>
      </w:r>
      <w:r>
        <w:rPr>
          <w:rFonts w:ascii="Calibri" w:eastAsia="Calibri" w:hAnsi="Calibri" w:cs="Calibri"/>
          <w:color w:val="000000"/>
          <w:sz w:val="20"/>
          <w:szCs w:val="20"/>
          <w:lang w:val="et-EE" w:eastAsia="et-EE"/>
        </w:rPr>
        <w:t>22</w:t>
      </w:r>
      <w:r w:rsidRPr="0030759B">
        <w:rPr>
          <w:rFonts w:ascii="Calibri" w:eastAsia="Calibri" w:hAnsi="Calibri" w:cs="Calibri"/>
          <w:color w:val="000000"/>
          <w:sz w:val="20"/>
          <w:szCs w:val="20"/>
          <w:lang w:val="et-EE" w:eastAsia="et-EE"/>
        </w:rPr>
        <w:t xml:space="preserve"> (protocol no. </w:t>
      </w:r>
      <w:r>
        <w:rPr>
          <w:rFonts w:ascii="Calibri" w:eastAsia="Calibri" w:hAnsi="Calibri" w:cs="Calibri"/>
          <w:color w:val="000000"/>
          <w:sz w:val="20"/>
          <w:szCs w:val="20"/>
          <w:lang w:val="et-EE" w:eastAsia="et-EE"/>
        </w:rPr>
        <w:t>6-22)</w:t>
      </w:r>
    </w:p>
    <w:p w:rsidR="00AD77AD" w:rsidRPr="007E66D3" w:rsidRDefault="00AD77AD">
      <w:pPr>
        <w:autoSpaceDE w:val="0"/>
        <w:autoSpaceDN w:val="0"/>
        <w:adjustRightInd w:val="0"/>
        <w:ind w:left="6372"/>
        <w:jc w:val="both"/>
        <w:rPr>
          <w:rFonts w:asciiTheme="minorHAnsi" w:hAnsiTheme="minorHAnsi" w:cs="ArialMT"/>
          <w:sz w:val="20"/>
          <w:szCs w:val="20"/>
        </w:rPr>
      </w:pPr>
      <w:bookmarkStart w:id="0" w:name="_GoBack"/>
      <w:bookmarkEnd w:id="0"/>
    </w:p>
    <w:sectPr w:rsidR="00AD77AD" w:rsidRPr="007E66D3" w:rsidSect="00203F31">
      <w:headerReference w:type="default" r:id="rId12"/>
      <w:footerReference w:type="default" r:id="rId13"/>
      <w:footerReference w:type="first" r:id="rId14"/>
      <w:type w:val="continuous"/>
      <w:pgSz w:w="11907" w:h="16839" w:code="9"/>
      <w:pgMar w:top="426" w:right="680" w:bottom="510" w:left="1701" w:header="142"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FA" w:rsidRDefault="00CA4CFA" w:rsidP="002676B3">
      <w:r>
        <w:separator/>
      </w:r>
    </w:p>
  </w:endnote>
  <w:endnote w:type="continuationSeparator" w:id="0">
    <w:p w:rsidR="00CA4CFA" w:rsidRDefault="00CA4CFA"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5B" w:usb2="00000009"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3B" w:rsidRDefault="00FD3E03" w:rsidP="009B6D3B">
    <w:pPr>
      <w:pStyle w:val="Footer"/>
      <w:rPr>
        <w:rFonts w:asciiTheme="minorHAnsi" w:hAnsiTheme="minorHAnsi"/>
        <w:sz w:val="18"/>
        <w:szCs w:val="18"/>
      </w:rPr>
    </w:pPr>
    <w:r>
      <w:rPr>
        <w:rFonts w:asciiTheme="minorHAnsi" w:hAnsiTheme="minorHAnsi"/>
        <w:sz w:val="18"/>
        <w:szCs w:val="18"/>
      </w:rPr>
      <w:t xml:space="preserve">East Tallinn Central Hospital, </w:t>
    </w:r>
    <w:r w:rsidR="0030759B">
      <w:rPr>
        <w:rFonts w:asciiTheme="minorHAnsi" w:hAnsiTheme="minorHAnsi"/>
        <w:sz w:val="18"/>
        <w:szCs w:val="18"/>
      </w:rPr>
      <w:t>patient information (ITK</w:t>
    </w:r>
    <w:r w:rsidR="005474CE">
      <w:rPr>
        <w:rFonts w:asciiTheme="minorHAnsi" w:hAnsiTheme="minorHAnsi"/>
        <w:sz w:val="18"/>
        <w:szCs w:val="18"/>
      </w:rPr>
      <w:t>1082</w:t>
    </w:r>
    <w:r>
      <w:rPr>
        <w:rFonts w:asciiTheme="minorHAnsi" w:hAnsiTheme="minorHAnsi"/>
        <w:sz w:val="18"/>
        <w:szCs w:val="18"/>
      </w:rPr>
      <w:t>)</w:t>
    </w:r>
  </w:p>
  <w:p w:rsidR="00763F78" w:rsidRPr="002D0084" w:rsidRDefault="004B422A" w:rsidP="003079B3">
    <w:pPr>
      <w:pStyle w:val="Footer"/>
      <w:rPr>
        <w:rFonts w:asciiTheme="minorHAnsi" w:hAnsiTheme="minorHAnsi"/>
        <w:noProof/>
        <w:sz w:val="20"/>
        <w:szCs w:val="18"/>
      </w:rPr>
    </w:pPr>
    <w:r w:rsidRPr="004B422A">
      <w:rPr>
        <w:rFonts w:asciiTheme="minorHAnsi" w:hAnsiTheme="minorHAnsi"/>
        <w:sz w:val="18"/>
        <w:szCs w:val="18"/>
      </w:rPr>
      <w:t>Surgical treatment of urinary incontinence</w:t>
    </w:r>
    <w:r w:rsidR="00FD3E03">
      <w:rPr>
        <w:rFonts w:asciiTheme="minorHAnsi" w:hAnsiTheme="minorHAnsi"/>
        <w:sz w:val="18"/>
        <w:szCs w:val="18"/>
      </w:rPr>
      <w:ptab w:relativeTo="margin" w:alignment="right" w:leader="none"/>
    </w:r>
    <w:sdt>
      <w:sdtPr>
        <w:rPr>
          <w:rFonts w:asciiTheme="minorHAnsi" w:hAnsiTheme="minorHAnsi"/>
          <w:sz w:val="20"/>
          <w:szCs w:val="18"/>
        </w:rPr>
        <w:id w:val="437339606"/>
        <w:docPartObj>
          <w:docPartGallery w:val="Page Numbers (Bottom of Page)"/>
          <w:docPartUnique/>
        </w:docPartObj>
      </w:sdtPr>
      <w:sdtEndPr>
        <w:rPr>
          <w:noProof/>
        </w:rPr>
      </w:sdtEndPr>
      <w:sdtContent>
        <w:r w:rsidR="00FD3E03">
          <w:rPr>
            <w:rFonts w:asciiTheme="minorHAnsi" w:hAnsiTheme="minorHAnsi"/>
            <w:sz w:val="20"/>
            <w:szCs w:val="18"/>
          </w:rPr>
          <w:fldChar w:fldCharType="begin"/>
        </w:r>
        <w:r w:rsidR="00FD3E03">
          <w:rPr>
            <w:rFonts w:asciiTheme="minorHAnsi" w:hAnsiTheme="minorHAnsi"/>
            <w:sz w:val="20"/>
            <w:szCs w:val="18"/>
          </w:rPr>
          <w:instrText xml:space="preserve"> PAGE   \* MERGEFORMAT </w:instrText>
        </w:r>
        <w:r w:rsidR="00FD3E03">
          <w:rPr>
            <w:rFonts w:asciiTheme="minorHAnsi" w:hAnsiTheme="minorHAnsi"/>
            <w:sz w:val="20"/>
            <w:szCs w:val="18"/>
          </w:rPr>
          <w:fldChar w:fldCharType="separate"/>
        </w:r>
        <w:r w:rsidR="005474CE">
          <w:rPr>
            <w:rFonts w:asciiTheme="minorHAnsi" w:hAnsiTheme="minorHAnsi"/>
            <w:noProof/>
            <w:sz w:val="20"/>
            <w:szCs w:val="18"/>
          </w:rPr>
          <w:t>2</w:t>
        </w:r>
        <w:r w:rsidR="00FD3E03">
          <w:rPr>
            <w:rFonts w:asciiTheme="minorHAnsi" w:hAnsiTheme="minorHAnsi"/>
            <w:noProof/>
            <w:sz w:val="20"/>
            <w:szCs w:val="18"/>
          </w:rPr>
          <w:fldChar w:fldCharType="end"/>
        </w:r>
        <w:r w:rsidR="006E65F2">
          <w:rPr>
            <w:rFonts w:asciiTheme="minorHAnsi" w:hAnsiTheme="minorHAnsi"/>
            <w:noProof/>
            <w:sz w:val="20"/>
            <w:szCs w:val="18"/>
          </w:rPr>
          <w:t>/</w:t>
        </w:r>
        <w:r w:rsidR="0068702B">
          <w:rPr>
            <w:rFonts w:asciiTheme="minorHAnsi" w:hAnsiTheme="minorHAnsi"/>
            <w:noProof/>
            <w:sz w:val="20"/>
            <w:szCs w:val="18"/>
          </w:rPr>
          <w:t>2</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FA" w:rsidRDefault="00CA4CFA" w:rsidP="002676B3">
      <w:r>
        <w:separator/>
      </w:r>
    </w:p>
  </w:footnote>
  <w:footnote w:type="continuationSeparator" w:id="0">
    <w:p w:rsidR="00CA4CFA" w:rsidRDefault="00CA4CFA" w:rsidP="00267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2676B3"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38D47A54" wp14:editId="4A65BFF5">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A54"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rsidR="002676B3" w:rsidRDefault="002676B3" w:rsidP="002676B3">
    <w:pPr>
      <w:pStyle w:val="Header"/>
      <w:tabs>
        <w:tab w:val="left" w:pos="1800"/>
        <w:tab w:val="center" w:pos="6660"/>
        <w:tab w:val="left" w:pos="8222"/>
      </w:tabs>
      <w:ind w:firstLine="1276"/>
    </w:pPr>
    <w:r>
      <w:tab/>
    </w:r>
    <w:r>
      <w:tab/>
    </w:r>
  </w:p>
  <w:p w:rsidR="002676B3" w:rsidRPr="00CC707D" w:rsidRDefault="002676B3" w:rsidP="002676B3">
    <w:pPr>
      <w:pStyle w:val="Header"/>
      <w:tabs>
        <w:tab w:val="left" w:pos="1800"/>
        <w:tab w:val="left" w:pos="7920"/>
      </w:tabs>
      <w:ind w:firstLine="1800"/>
      <w:rPr>
        <w:rFonts w:ascii="Courier New" w:hAnsi="Courier New"/>
      </w:rPr>
    </w:pPr>
    <w:r>
      <w:tab/>
    </w:r>
  </w:p>
  <w:p w:rsidR="002676B3" w:rsidRDefault="002676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C4733F"/>
    <w:multiLevelType w:val="hybridMultilevel"/>
    <w:tmpl w:val="1C7E69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0B5F5B87"/>
    <w:multiLevelType w:val="hybridMultilevel"/>
    <w:tmpl w:val="1460EC9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15:restartNumberingAfterBreak="0">
    <w:nsid w:val="14470F70"/>
    <w:multiLevelType w:val="hybridMultilevel"/>
    <w:tmpl w:val="EF66E39A"/>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1A44657E"/>
    <w:multiLevelType w:val="hybridMultilevel"/>
    <w:tmpl w:val="7464B62A"/>
    <w:lvl w:ilvl="0" w:tplc="4F5AB3FC">
      <w:numFmt w:val="bullet"/>
      <w:lvlText w:val="•"/>
      <w:lvlJc w:val="left"/>
      <w:pPr>
        <w:ind w:left="720" w:hanging="360"/>
      </w:pPr>
      <w:rPr>
        <w:rFonts w:ascii="Calibri" w:eastAsia="Arial"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CB625D5"/>
    <w:multiLevelType w:val="hybridMultilevel"/>
    <w:tmpl w:val="5240CC7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4DF41B9"/>
    <w:multiLevelType w:val="hybridMultilevel"/>
    <w:tmpl w:val="142C35C8"/>
    <w:lvl w:ilvl="0" w:tplc="04250001">
      <w:start w:val="1"/>
      <w:numFmt w:val="bullet"/>
      <w:lvlText w:val=""/>
      <w:lvlJc w:val="left"/>
      <w:pPr>
        <w:tabs>
          <w:tab w:val="left" w:pos="1429"/>
        </w:tabs>
        <w:ind w:left="1428"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8F6DA48">
      <w:start w:val="1"/>
      <w:numFmt w:val="bullet"/>
      <w:lvlText w:val="·"/>
      <w:lvlJc w:val="left"/>
      <w:pPr>
        <w:tabs>
          <w:tab w:val="left" w:pos="1428"/>
          <w:tab w:val="left" w:pos="1573"/>
        </w:tabs>
        <w:ind w:left="2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9EE0F8">
      <w:start w:val="1"/>
      <w:numFmt w:val="bullet"/>
      <w:lvlText w:val="·"/>
      <w:lvlJc w:val="left"/>
      <w:pPr>
        <w:tabs>
          <w:tab w:val="left" w:pos="1428"/>
          <w:tab w:val="left" w:pos="1573"/>
        </w:tabs>
        <w:ind w:left="35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ACCB74">
      <w:start w:val="1"/>
      <w:numFmt w:val="bullet"/>
      <w:lvlText w:val="·"/>
      <w:lvlJc w:val="left"/>
      <w:pPr>
        <w:tabs>
          <w:tab w:val="left" w:pos="1428"/>
          <w:tab w:val="left" w:pos="1573"/>
        </w:tabs>
        <w:ind w:left="45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0AC51C">
      <w:start w:val="1"/>
      <w:numFmt w:val="bullet"/>
      <w:lvlText w:val="·"/>
      <w:lvlJc w:val="left"/>
      <w:pPr>
        <w:tabs>
          <w:tab w:val="left" w:pos="1428"/>
          <w:tab w:val="left" w:pos="1573"/>
        </w:tabs>
        <w:ind w:left="55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8CAE04">
      <w:start w:val="1"/>
      <w:numFmt w:val="bullet"/>
      <w:lvlText w:val="·"/>
      <w:lvlJc w:val="left"/>
      <w:pPr>
        <w:tabs>
          <w:tab w:val="left" w:pos="1428"/>
          <w:tab w:val="left" w:pos="1573"/>
        </w:tabs>
        <w:ind w:left="65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767324">
      <w:start w:val="1"/>
      <w:numFmt w:val="bullet"/>
      <w:lvlText w:val="·"/>
      <w:lvlJc w:val="left"/>
      <w:pPr>
        <w:tabs>
          <w:tab w:val="left" w:pos="1428"/>
          <w:tab w:val="left" w:pos="1573"/>
        </w:tabs>
        <w:ind w:left="76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C44A66">
      <w:start w:val="1"/>
      <w:numFmt w:val="bullet"/>
      <w:lvlText w:val="·"/>
      <w:lvlJc w:val="left"/>
      <w:pPr>
        <w:tabs>
          <w:tab w:val="left" w:pos="1428"/>
          <w:tab w:val="left" w:pos="1573"/>
        </w:tabs>
        <w:ind w:left="8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A49A20">
      <w:start w:val="1"/>
      <w:numFmt w:val="bullet"/>
      <w:lvlText w:val="·"/>
      <w:lvlJc w:val="left"/>
      <w:pPr>
        <w:tabs>
          <w:tab w:val="left" w:pos="1428"/>
          <w:tab w:val="left" w:pos="1573"/>
        </w:tabs>
        <w:ind w:left="96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A22B2F"/>
    <w:multiLevelType w:val="hybridMultilevel"/>
    <w:tmpl w:val="B338034C"/>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C43401D"/>
    <w:multiLevelType w:val="hybridMultilevel"/>
    <w:tmpl w:val="B4BADCA2"/>
    <w:lvl w:ilvl="0" w:tplc="042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52456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C238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D262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9E31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A206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A22E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C863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A079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361B44"/>
    <w:multiLevelType w:val="hybridMultilevel"/>
    <w:tmpl w:val="826258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D415860"/>
    <w:multiLevelType w:val="hybridMultilevel"/>
    <w:tmpl w:val="4B0C70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17" w15:restartNumberingAfterBreak="0">
    <w:nsid w:val="30F31228"/>
    <w:multiLevelType w:val="hybridMultilevel"/>
    <w:tmpl w:val="76B43972"/>
    <w:lvl w:ilvl="0" w:tplc="04250001">
      <w:start w:val="1"/>
      <w:numFmt w:val="bullet"/>
      <w:lvlText w:val=""/>
      <w:lvlJc w:val="left"/>
      <w:pPr>
        <w:ind w:left="1776" w:hanging="360"/>
      </w:pPr>
      <w:rPr>
        <w:rFonts w:ascii="Symbol" w:hAnsi="Symbol"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8"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9"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0" w15:restartNumberingAfterBreak="0">
    <w:nsid w:val="34B9559F"/>
    <w:multiLevelType w:val="hybridMultilevel"/>
    <w:tmpl w:val="115C6F74"/>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4" w15:restartNumberingAfterBreak="0">
    <w:nsid w:val="46294978"/>
    <w:multiLevelType w:val="hybridMultilevel"/>
    <w:tmpl w:val="CF72ED56"/>
    <w:lvl w:ilvl="0" w:tplc="0425000F">
      <w:start w:val="1"/>
      <w:numFmt w:val="decimal"/>
      <w:lvlText w:val="%1."/>
      <w:lvlJc w:val="left"/>
      <w:pPr>
        <w:ind w:left="1775" w:hanging="360"/>
      </w:pPr>
      <w:rPr>
        <w:rFonts w:hint="default"/>
      </w:rPr>
    </w:lvl>
    <w:lvl w:ilvl="1" w:tplc="04250019">
      <w:start w:val="1"/>
      <w:numFmt w:val="lowerLetter"/>
      <w:lvlText w:val="%2."/>
      <w:lvlJc w:val="left"/>
      <w:pPr>
        <w:ind w:left="2004" w:hanging="360"/>
      </w:pPr>
    </w:lvl>
    <w:lvl w:ilvl="2" w:tplc="0425001B" w:tentative="1">
      <w:start w:val="1"/>
      <w:numFmt w:val="lowerRoman"/>
      <w:lvlText w:val="%3."/>
      <w:lvlJc w:val="right"/>
      <w:pPr>
        <w:ind w:left="2724" w:hanging="180"/>
      </w:pPr>
    </w:lvl>
    <w:lvl w:ilvl="3" w:tplc="0425000F" w:tentative="1">
      <w:start w:val="1"/>
      <w:numFmt w:val="decimal"/>
      <w:lvlText w:val="%4."/>
      <w:lvlJc w:val="left"/>
      <w:pPr>
        <w:ind w:left="3444" w:hanging="360"/>
      </w:pPr>
    </w:lvl>
    <w:lvl w:ilvl="4" w:tplc="04250019" w:tentative="1">
      <w:start w:val="1"/>
      <w:numFmt w:val="lowerLetter"/>
      <w:lvlText w:val="%5."/>
      <w:lvlJc w:val="left"/>
      <w:pPr>
        <w:ind w:left="4164" w:hanging="360"/>
      </w:pPr>
    </w:lvl>
    <w:lvl w:ilvl="5" w:tplc="0425001B" w:tentative="1">
      <w:start w:val="1"/>
      <w:numFmt w:val="lowerRoman"/>
      <w:lvlText w:val="%6."/>
      <w:lvlJc w:val="right"/>
      <w:pPr>
        <w:ind w:left="4884" w:hanging="180"/>
      </w:pPr>
    </w:lvl>
    <w:lvl w:ilvl="6" w:tplc="0425000F" w:tentative="1">
      <w:start w:val="1"/>
      <w:numFmt w:val="decimal"/>
      <w:lvlText w:val="%7."/>
      <w:lvlJc w:val="left"/>
      <w:pPr>
        <w:ind w:left="5604" w:hanging="360"/>
      </w:pPr>
    </w:lvl>
    <w:lvl w:ilvl="7" w:tplc="04250019" w:tentative="1">
      <w:start w:val="1"/>
      <w:numFmt w:val="lowerLetter"/>
      <w:lvlText w:val="%8."/>
      <w:lvlJc w:val="left"/>
      <w:pPr>
        <w:ind w:left="6324" w:hanging="360"/>
      </w:pPr>
    </w:lvl>
    <w:lvl w:ilvl="8" w:tplc="0425001B" w:tentative="1">
      <w:start w:val="1"/>
      <w:numFmt w:val="lowerRoman"/>
      <w:lvlText w:val="%9."/>
      <w:lvlJc w:val="right"/>
      <w:pPr>
        <w:ind w:left="7044" w:hanging="180"/>
      </w:pPr>
    </w:lvl>
  </w:abstractNum>
  <w:abstractNum w:abstractNumId="25" w15:restartNumberingAfterBreak="0">
    <w:nsid w:val="47525CFD"/>
    <w:multiLevelType w:val="hybridMultilevel"/>
    <w:tmpl w:val="2B42EBA6"/>
    <w:lvl w:ilvl="0" w:tplc="04250001">
      <w:start w:val="1"/>
      <w:numFmt w:val="bullet"/>
      <w:lvlText w:val=""/>
      <w:lvlJc w:val="left"/>
      <w:pPr>
        <w:ind w:left="1494" w:hanging="360"/>
      </w:pPr>
      <w:rPr>
        <w:rFonts w:ascii="Symbol" w:hAnsi="Symbol" w:hint="default"/>
      </w:rPr>
    </w:lvl>
    <w:lvl w:ilvl="1" w:tplc="04250003" w:tentative="1">
      <w:start w:val="1"/>
      <w:numFmt w:val="bullet"/>
      <w:lvlText w:val="o"/>
      <w:lvlJc w:val="left"/>
      <w:pPr>
        <w:ind w:left="2214" w:hanging="360"/>
      </w:pPr>
      <w:rPr>
        <w:rFonts w:ascii="Courier New" w:hAnsi="Courier New" w:cs="Courier New" w:hint="default"/>
      </w:rPr>
    </w:lvl>
    <w:lvl w:ilvl="2" w:tplc="04250005" w:tentative="1">
      <w:start w:val="1"/>
      <w:numFmt w:val="bullet"/>
      <w:lvlText w:val=""/>
      <w:lvlJc w:val="left"/>
      <w:pPr>
        <w:ind w:left="2934" w:hanging="360"/>
      </w:pPr>
      <w:rPr>
        <w:rFonts w:ascii="Wingdings" w:hAnsi="Wingdings" w:hint="default"/>
      </w:rPr>
    </w:lvl>
    <w:lvl w:ilvl="3" w:tplc="04250001" w:tentative="1">
      <w:start w:val="1"/>
      <w:numFmt w:val="bullet"/>
      <w:lvlText w:val=""/>
      <w:lvlJc w:val="left"/>
      <w:pPr>
        <w:ind w:left="3654" w:hanging="360"/>
      </w:pPr>
      <w:rPr>
        <w:rFonts w:ascii="Symbol" w:hAnsi="Symbol" w:hint="default"/>
      </w:rPr>
    </w:lvl>
    <w:lvl w:ilvl="4" w:tplc="04250003" w:tentative="1">
      <w:start w:val="1"/>
      <w:numFmt w:val="bullet"/>
      <w:lvlText w:val="o"/>
      <w:lvlJc w:val="left"/>
      <w:pPr>
        <w:ind w:left="4374" w:hanging="360"/>
      </w:pPr>
      <w:rPr>
        <w:rFonts w:ascii="Courier New" w:hAnsi="Courier New" w:cs="Courier New" w:hint="default"/>
      </w:rPr>
    </w:lvl>
    <w:lvl w:ilvl="5" w:tplc="04250005" w:tentative="1">
      <w:start w:val="1"/>
      <w:numFmt w:val="bullet"/>
      <w:lvlText w:val=""/>
      <w:lvlJc w:val="left"/>
      <w:pPr>
        <w:ind w:left="5094" w:hanging="360"/>
      </w:pPr>
      <w:rPr>
        <w:rFonts w:ascii="Wingdings" w:hAnsi="Wingdings" w:hint="default"/>
      </w:rPr>
    </w:lvl>
    <w:lvl w:ilvl="6" w:tplc="04250001" w:tentative="1">
      <w:start w:val="1"/>
      <w:numFmt w:val="bullet"/>
      <w:lvlText w:val=""/>
      <w:lvlJc w:val="left"/>
      <w:pPr>
        <w:ind w:left="5814" w:hanging="360"/>
      </w:pPr>
      <w:rPr>
        <w:rFonts w:ascii="Symbol" w:hAnsi="Symbol" w:hint="default"/>
      </w:rPr>
    </w:lvl>
    <w:lvl w:ilvl="7" w:tplc="04250003" w:tentative="1">
      <w:start w:val="1"/>
      <w:numFmt w:val="bullet"/>
      <w:lvlText w:val="o"/>
      <w:lvlJc w:val="left"/>
      <w:pPr>
        <w:ind w:left="6534" w:hanging="360"/>
      </w:pPr>
      <w:rPr>
        <w:rFonts w:ascii="Courier New" w:hAnsi="Courier New" w:cs="Courier New" w:hint="default"/>
      </w:rPr>
    </w:lvl>
    <w:lvl w:ilvl="8" w:tplc="04250005" w:tentative="1">
      <w:start w:val="1"/>
      <w:numFmt w:val="bullet"/>
      <w:lvlText w:val=""/>
      <w:lvlJc w:val="left"/>
      <w:pPr>
        <w:ind w:left="7254" w:hanging="360"/>
      </w:pPr>
      <w:rPr>
        <w:rFonts w:ascii="Wingdings" w:hAnsi="Wingdings" w:hint="default"/>
      </w:rPr>
    </w:lvl>
  </w:abstractNum>
  <w:abstractNum w:abstractNumId="26" w15:restartNumberingAfterBreak="0">
    <w:nsid w:val="4AF67936"/>
    <w:multiLevelType w:val="hybridMultilevel"/>
    <w:tmpl w:val="BEE6F37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7" w15:restartNumberingAfterBreak="0">
    <w:nsid w:val="50B32B69"/>
    <w:multiLevelType w:val="hybridMultilevel"/>
    <w:tmpl w:val="17F2184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8" w15:restartNumberingAfterBreak="0">
    <w:nsid w:val="5281670D"/>
    <w:multiLevelType w:val="hybridMultilevel"/>
    <w:tmpl w:val="7896A496"/>
    <w:styleLink w:val="2"/>
    <w:lvl w:ilvl="0" w:tplc="84FC2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4AFC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C67F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6A9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83A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FCAB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2C51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B21F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49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4237D28"/>
    <w:multiLevelType w:val="hybridMultilevel"/>
    <w:tmpl w:val="9A60F9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718770F"/>
    <w:multiLevelType w:val="hybridMultilevel"/>
    <w:tmpl w:val="B16E7F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C4D32B9"/>
    <w:multiLevelType w:val="hybridMultilevel"/>
    <w:tmpl w:val="7896A496"/>
    <w:numStyleLink w:val="2"/>
  </w:abstractNum>
  <w:abstractNum w:abstractNumId="32"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E0D6BDE"/>
    <w:multiLevelType w:val="hybridMultilevel"/>
    <w:tmpl w:val="FB8AAB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060183F"/>
    <w:multiLevelType w:val="hybridMultilevel"/>
    <w:tmpl w:val="CF2E92C0"/>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36"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7" w15:restartNumberingAfterBreak="0">
    <w:nsid w:val="67C96256"/>
    <w:multiLevelType w:val="hybridMultilevel"/>
    <w:tmpl w:val="AE8E1E9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8" w15:restartNumberingAfterBreak="0">
    <w:nsid w:val="6A6744F1"/>
    <w:multiLevelType w:val="hybridMultilevel"/>
    <w:tmpl w:val="E118E978"/>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6D3E450C"/>
    <w:multiLevelType w:val="hybridMultilevel"/>
    <w:tmpl w:val="8A10FDDA"/>
    <w:lvl w:ilvl="0" w:tplc="D3AC17E8">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40" w15:restartNumberingAfterBreak="0">
    <w:nsid w:val="71755427"/>
    <w:multiLevelType w:val="hybridMultilevel"/>
    <w:tmpl w:val="3E6AF096"/>
    <w:styleLink w:val="ImportedStyle1"/>
    <w:lvl w:ilvl="0" w:tplc="5406C85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277DA">
      <w:start w:val="1"/>
      <w:numFmt w:val="bullet"/>
      <w:lvlText w:val="·"/>
      <w:lvlJc w:val="left"/>
      <w:pPr>
        <w:tabs>
          <w:tab w:val="left" w:pos="1572"/>
          <w:tab w:val="left" w:pos="1573"/>
        </w:tabs>
        <w:ind w:left="26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D21442">
      <w:start w:val="1"/>
      <w:numFmt w:val="bullet"/>
      <w:lvlText w:val="·"/>
      <w:lvlJc w:val="left"/>
      <w:pPr>
        <w:tabs>
          <w:tab w:val="left" w:pos="1572"/>
          <w:tab w:val="left" w:pos="1573"/>
        </w:tabs>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80AFB0">
      <w:start w:val="1"/>
      <w:numFmt w:val="bullet"/>
      <w:lvlText w:val="·"/>
      <w:lvlJc w:val="left"/>
      <w:pPr>
        <w:tabs>
          <w:tab w:val="left" w:pos="1572"/>
          <w:tab w:val="left" w:pos="1573"/>
        </w:tabs>
        <w:ind w:left="4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66C27E">
      <w:start w:val="1"/>
      <w:numFmt w:val="bullet"/>
      <w:lvlText w:val="·"/>
      <w:lvlJc w:val="left"/>
      <w:pPr>
        <w:tabs>
          <w:tab w:val="left" w:pos="1572"/>
          <w:tab w:val="left" w:pos="1573"/>
        </w:tabs>
        <w:ind w:left="5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0607E0">
      <w:start w:val="1"/>
      <w:numFmt w:val="bullet"/>
      <w:lvlText w:val="·"/>
      <w:lvlJc w:val="left"/>
      <w:pPr>
        <w:tabs>
          <w:tab w:val="left" w:pos="1572"/>
          <w:tab w:val="left" w:pos="1573"/>
        </w:tabs>
        <w:ind w:left="67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207E7C">
      <w:start w:val="1"/>
      <w:numFmt w:val="bullet"/>
      <w:lvlText w:val="·"/>
      <w:lvlJc w:val="left"/>
      <w:pPr>
        <w:tabs>
          <w:tab w:val="left" w:pos="1572"/>
          <w:tab w:val="left" w:pos="1573"/>
        </w:tabs>
        <w:ind w:left="7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E04040">
      <w:start w:val="1"/>
      <w:numFmt w:val="bullet"/>
      <w:lvlText w:val="·"/>
      <w:lvlJc w:val="left"/>
      <w:pPr>
        <w:tabs>
          <w:tab w:val="left" w:pos="1572"/>
          <w:tab w:val="left" w:pos="1573"/>
        </w:tabs>
        <w:ind w:left="8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0A477E">
      <w:start w:val="1"/>
      <w:numFmt w:val="bullet"/>
      <w:lvlText w:val="·"/>
      <w:lvlJc w:val="left"/>
      <w:pPr>
        <w:tabs>
          <w:tab w:val="left" w:pos="1572"/>
          <w:tab w:val="left" w:pos="1573"/>
        </w:tabs>
        <w:ind w:left="98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4843E45"/>
    <w:multiLevelType w:val="hybridMultilevel"/>
    <w:tmpl w:val="45E60F8A"/>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42" w15:restartNumberingAfterBreak="0">
    <w:nsid w:val="797A1880"/>
    <w:multiLevelType w:val="hybridMultilevel"/>
    <w:tmpl w:val="14B26DE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3" w15:restartNumberingAfterBreak="0">
    <w:nsid w:val="7C2D21C0"/>
    <w:multiLevelType w:val="hybridMultilevel"/>
    <w:tmpl w:val="3E6AF096"/>
    <w:numStyleLink w:val="ImportedStyle1"/>
  </w:abstractNum>
  <w:abstractNum w:abstractNumId="44" w15:restartNumberingAfterBreak="0">
    <w:nsid w:val="7CFC2BFE"/>
    <w:multiLevelType w:val="hybridMultilevel"/>
    <w:tmpl w:val="1BE8E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D2F5616"/>
    <w:multiLevelType w:val="hybridMultilevel"/>
    <w:tmpl w:val="8EF27A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7DFD2F0D"/>
    <w:multiLevelType w:val="hybridMultilevel"/>
    <w:tmpl w:val="68D88A2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7"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36"/>
  </w:num>
  <w:num w:numId="2">
    <w:abstractNumId w:val="9"/>
  </w:num>
  <w:num w:numId="3">
    <w:abstractNumId w:val="0"/>
  </w:num>
  <w:num w:numId="4">
    <w:abstractNumId w:val="16"/>
  </w:num>
  <w:num w:numId="5">
    <w:abstractNumId w:val="21"/>
  </w:num>
  <w:num w:numId="6">
    <w:abstractNumId w:val="33"/>
  </w:num>
  <w:num w:numId="7">
    <w:abstractNumId w:val="12"/>
  </w:num>
  <w:num w:numId="8">
    <w:abstractNumId w:val="8"/>
  </w:num>
  <w:num w:numId="9">
    <w:abstractNumId w:val="32"/>
  </w:num>
  <w:num w:numId="10">
    <w:abstractNumId w:val="19"/>
  </w:num>
  <w:num w:numId="11">
    <w:abstractNumId w:val="4"/>
  </w:num>
  <w:num w:numId="12">
    <w:abstractNumId w:val="47"/>
  </w:num>
  <w:num w:numId="13">
    <w:abstractNumId w:val="18"/>
  </w:num>
  <w:num w:numId="14">
    <w:abstractNumId w:val="23"/>
  </w:num>
  <w:num w:numId="15">
    <w:abstractNumId w:val="2"/>
  </w:num>
  <w:num w:numId="16">
    <w:abstractNumId w:val="22"/>
  </w:num>
  <w:num w:numId="17">
    <w:abstractNumId w:val="5"/>
  </w:num>
  <w:num w:numId="18">
    <w:abstractNumId w:val="20"/>
  </w:num>
  <w:num w:numId="19">
    <w:abstractNumId w:val="34"/>
  </w:num>
  <w:num w:numId="20">
    <w:abstractNumId w:val="45"/>
  </w:num>
  <w:num w:numId="21">
    <w:abstractNumId w:val="1"/>
  </w:num>
  <w:num w:numId="22">
    <w:abstractNumId w:val="38"/>
  </w:num>
  <w:num w:numId="23">
    <w:abstractNumId w:val="40"/>
  </w:num>
  <w:num w:numId="24">
    <w:abstractNumId w:val="43"/>
    <w:lvlOverride w:ilvl="0">
      <w:lvl w:ilvl="0" w:tplc="716E2C32">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0"/>
  </w:num>
  <w:num w:numId="26">
    <w:abstractNumId w:val="37"/>
  </w:num>
  <w:num w:numId="27">
    <w:abstractNumId w:val="35"/>
  </w:num>
  <w:num w:numId="28">
    <w:abstractNumId w:val="11"/>
  </w:num>
  <w:num w:numId="29">
    <w:abstractNumId w:val="30"/>
  </w:num>
  <w:num w:numId="30">
    <w:abstractNumId w:val="15"/>
  </w:num>
  <w:num w:numId="31">
    <w:abstractNumId w:val="41"/>
  </w:num>
  <w:num w:numId="32">
    <w:abstractNumId w:val="14"/>
  </w:num>
  <w:num w:numId="33">
    <w:abstractNumId w:val="29"/>
  </w:num>
  <w:num w:numId="34">
    <w:abstractNumId w:val="44"/>
  </w:num>
  <w:num w:numId="35">
    <w:abstractNumId w:val="7"/>
  </w:num>
  <w:num w:numId="36">
    <w:abstractNumId w:val="42"/>
  </w:num>
  <w:num w:numId="37">
    <w:abstractNumId w:val="26"/>
  </w:num>
  <w:num w:numId="38">
    <w:abstractNumId w:val="24"/>
  </w:num>
  <w:num w:numId="39">
    <w:abstractNumId w:val="39"/>
  </w:num>
  <w:num w:numId="40">
    <w:abstractNumId w:val="17"/>
  </w:num>
  <w:num w:numId="41">
    <w:abstractNumId w:val="25"/>
  </w:num>
  <w:num w:numId="42">
    <w:abstractNumId w:val="6"/>
  </w:num>
  <w:num w:numId="43">
    <w:abstractNumId w:val="3"/>
  </w:num>
  <w:num w:numId="44">
    <w:abstractNumId w:val="46"/>
  </w:num>
  <w:num w:numId="45">
    <w:abstractNumId w:val="27"/>
  </w:num>
  <w:num w:numId="46">
    <w:abstractNumId w:val="28"/>
  </w:num>
  <w:num w:numId="47">
    <w:abstractNumId w:val="3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38E2"/>
    <w:rsid w:val="0002312F"/>
    <w:rsid w:val="00037E58"/>
    <w:rsid w:val="000610FA"/>
    <w:rsid w:val="00063009"/>
    <w:rsid w:val="00076833"/>
    <w:rsid w:val="0007734A"/>
    <w:rsid w:val="000844F3"/>
    <w:rsid w:val="00086B08"/>
    <w:rsid w:val="00090C69"/>
    <w:rsid w:val="0009611D"/>
    <w:rsid w:val="000A2D74"/>
    <w:rsid w:val="000B1FC3"/>
    <w:rsid w:val="000B376B"/>
    <w:rsid w:val="000C018F"/>
    <w:rsid w:val="000C1E67"/>
    <w:rsid w:val="000D3761"/>
    <w:rsid w:val="000F1D51"/>
    <w:rsid w:val="000F4D28"/>
    <w:rsid w:val="001139E6"/>
    <w:rsid w:val="00135917"/>
    <w:rsid w:val="00150EC3"/>
    <w:rsid w:val="001523DF"/>
    <w:rsid w:val="00162B09"/>
    <w:rsid w:val="001A091B"/>
    <w:rsid w:val="001A421E"/>
    <w:rsid w:val="001B3825"/>
    <w:rsid w:val="001B3EE1"/>
    <w:rsid w:val="001B6A1C"/>
    <w:rsid w:val="001B6D2E"/>
    <w:rsid w:val="001F29C0"/>
    <w:rsid w:val="001F2E1C"/>
    <w:rsid w:val="001F5FDA"/>
    <w:rsid w:val="00200544"/>
    <w:rsid w:val="00203F31"/>
    <w:rsid w:val="002050F2"/>
    <w:rsid w:val="00210026"/>
    <w:rsid w:val="00211DA0"/>
    <w:rsid w:val="00222848"/>
    <w:rsid w:val="00233053"/>
    <w:rsid w:val="00241F58"/>
    <w:rsid w:val="002422B3"/>
    <w:rsid w:val="002474CC"/>
    <w:rsid w:val="00253DDC"/>
    <w:rsid w:val="002676B3"/>
    <w:rsid w:val="002717B5"/>
    <w:rsid w:val="00291520"/>
    <w:rsid w:val="00292506"/>
    <w:rsid w:val="002930BB"/>
    <w:rsid w:val="002C7FD1"/>
    <w:rsid w:val="002D0084"/>
    <w:rsid w:val="002E0CEC"/>
    <w:rsid w:val="002E4468"/>
    <w:rsid w:val="002E5BDD"/>
    <w:rsid w:val="0030759B"/>
    <w:rsid w:val="003079B3"/>
    <w:rsid w:val="003155B9"/>
    <w:rsid w:val="003433C0"/>
    <w:rsid w:val="00346C90"/>
    <w:rsid w:val="00350DF3"/>
    <w:rsid w:val="00351E04"/>
    <w:rsid w:val="00364DBA"/>
    <w:rsid w:val="00375A31"/>
    <w:rsid w:val="00377240"/>
    <w:rsid w:val="00392220"/>
    <w:rsid w:val="00392D56"/>
    <w:rsid w:val="00393869"/>
    <w:rsid w:val="00396284"/>
    <w:rsid w:val="003B06A5"/>
    <w:rsid w:val="003B246D"/>
    <w:rsid w:val="003D0AD1"/>
    <w:rsid w:val="003D601E"/>
    <w:rsid w:val="003E1589"/>
    <w:rsid w:val="003F7EB4"/>
    <w:rsid w:val="004250DD"/>
    <w:rsid w:val="00441D73"/>
    <w:rsid w:val="0046057A"/>
    <w:rsid w:val="00465757"/>
    <w:rsid w:val="004816EE"/>
    <w:rsid w:val="0048172E"/>
    <w:rsid w:val="00490D1E"/>
    <w:rsid w:val="004A4A2A"/>
    <w:rsid w:val="004A621E"/>
    <w:rsid w:val="004B422A"/>
    <w:rsid w:val="004B72DB"/>
    <w:rsid w:val="004C38B2"/>
    <w:rsid w:val="004D55F5"/>
    <w:rsid w:val="004D62AF"/>
    <w:rsid w:val="004E24CC"/>
    <w:rsid w:val="004E4D74"/>
    <w:rsid w:val="004E50F4"/>
    <w:rsid w:val="004F6CB7"/>
    <w:rsid w:val="004F7785"/>
    <w:rsid w:val="00521057"/>
    <w:rsid w:val="005417D6"/>
    <w:rsid w:val="0054314D"/>
    <w:rsid w:val="005474CE"/>
    <w:rsid w:val="00561921"/>
    <w:rsid w:val="005B1FDB"/>
    <w:rsid w:val="005B48B6"/>
    <w:rsid w:val="005C6017"/>
    <w:rsid w:val="005D52FE"/>
    <w:rsid w:val="006165C6"/>
    <w:rsid w:val="00617697"/>
    <w:rsid w:val="00644137"/>
    <w:rsid w:val="00655583"/>
    <w:rsid w:val="00656E3E"/>
    <w:rsid w:val="00664CE0"/>
    <w:rsid w:val="006740F1"/>
    <w:rsid w:val="006768A7"/>
    <w:rsid w:val="00682E40"/>
    <w:rsid w:val="00684643"/>
    <w:rsid w:val="0068702B"/>
    <w:rsid w:val="00687485"/>
    <w:rsid w:val="006A16E7"/>
    <w:rsid w:val="006A28A1"/>
    <w:rsid w:val="006A6DE2"/>
    <w:rsid w:val="006B093D"/>
    <w:rsid w:val="006D716A"/>
    <w:rsid w:val="006E4BAE"/>
    <w:rsid w:val="006E65F2"/>
    <w:rsid w:val="006F00EF"/>
    <w:rsid w:val="006F6EF6"/>
    <w:rsid w:val="00704BCF"/>
    <w:rsid w:val="00707CE3"/>
    <w:rsid w:val="007205B3"/>
    <w:rsid w:val="00721CEB"/>
    <w:rsid w:val="00742A0B"/>
    <w:rsid w:val="00743568"/>
    <w:rsid w:val="00763F78"/>
    <w:rsid w:val="007644DF"/>
    <w:rsid w:val="00775320"/>
    <w:rsid w:val="00781414"/>
    <w:rsid w:val="00791590"/>
    <w:rsid w:val="0079344D"/>
    <w:rsid w:val="007945C2"/>
    <w:rsid w:val="007A46DA"/>
    <w:rsid w:val="007B26B5"/>
    <w:rsid w:val="007C418C"/>
    <w:rsid w:val="007C6E7D"/>
    <w:rsid w:val="007C72F7"/>
    <w:rsid w:val="007D5DDA"/>
    <w:rsid w:val="007D71FA"/>
    <w:rsid w:val="007E66D3"/>
    <w:rsid w:val="007F4218"/>
    <w:rsid w:val="00817256"/>
    <w:rsid w:val="00830A6E"/>
    <w:rsid w:val="00864580"/>
    <w:rsid w:val="0087668D"/>
    <w:rsid w:val="008769B5"/>
    <w:rsid w:val="00884458"/>
    <w:rsid w:val="00893392"/>
    <w:rsid w:val="0089376C"/>
    <w:rsid w:val="00894BAE"/>
    <w:rsid w:val="008B6A12"/>
    <w:rsid w:val="008D0E04"/>
    <w:rsid w:val="008E6562"/>
    <w:rsid w:val="008F259B"/>
    <w:rsid w:val="00904F25"/>
    <w:rsid w:val="00922F38"/>
    <w:rsid w:val="00925B6C"/>
    <w:rsid w:val="00927602"/>
    <w:rsid w:val="0095112B"/>
    <w:rsid w:val="00953A3D"/>
    <w:rsid w:val="009612FF"/>
    <w:rsid w:val="009768CC"/>
    <w:rsid w:val="00980363"/>
    <w:rsid w:val="00986EF1"/>
    <w:rsid w:val="009910FE"/>
    <w:rsid w:val="009A0561"/>
    <w:rsid w:val="009A7C7B"/>
    <w:rsid w:val="009B6D3B"/>
    <w:rsid w:val="009C2E64"/>
    <w:rsid w:val="009C302C"/>
    <w:rsid w:val="009C3AE2"/>
    <w:rsid w:val="009D1D63"/>
    <w:rsid w:val="009D422E"/>
    <w:rsid w:val="009E1DE1"/>
    <w:rsid w:val="009E5830"/>
    <w:rsid w:val="009F168D"/>
    <w:rsid w:val="009F47EE"/>
    <w:rsid w:val="00A03709"/>
    <w:rsid w:val="00A237E6"/>
    <w:rsid w:val="00A239F5"/>
    <w:rsid w:val="00A27261"/>
    <w:rsid w:val="00A27FB9"/>
    <w:rsid w:val="00A31841"/>
    <w:rsid w:val="00A4195B"/>
    <w:rsid w:val="00A44D12"/>
    <w:rsid w:val="00A45BFF"/>
    <w:rsid w:val="00A510CB"/>
    <w:rsid w:val="00A5242B"/>
    <w:rsid w:val="00A5277C"/>
    <w:rsid w:val="00A53E4F"/>
    <w:rsid w:val="00A5598B"/>
    <w:rsid w:val="00A57306"/>
    <w:rsid w:val="00A93961"/>
    <w:rsid w:val="00A9705F"/>
    <w:rsid w:val="00AB0475"/>
    <w:rsid w:val="00AC37BA"/>
    <w:rsid w:val="00AC649F"/>
    <w:rsid w:val="00AD77AD"/>
    <w:rsid w:val="00AE60A2"/>
    <w:rsid w:val="00AE7D84"/>
    <w:rsid w:val="00B21AB0"/>
    <w:rsid w:val="00B311BB"/>
    <w:rsid w:val="00B32AAE"/>
    <w:rsid w:val="00B332FB"/>
    <w:rsid w:val="00B513BB"/>
    <w:rsid w:val="00B94045"/>
    <w:rsid w:val="00B966E5"/>
    <w:rsid w:val="00BA2134"/>
    <w:rsid w:val="00BC513B"/>
    <w:rsid w:val="00BC5ECB"/>
    <w:rsid w:val="00BD4720"/>
    <w:rsid w:val="00BD5CF7"/>
    <w:rsid w:val="00C02910"/>
    <w:rsid w:val="00C0711D"/>
    <w:rsid w:val="00C118C6"/>
    <w:rsid w:val="00C56970"/>
    <w:rsid w:val="00C636E4"/>
    <w:rsid w:val="00C651C1"/>
    <w:rsid w:val="00C65C8B"/>
    <w:rsid w:val="00C756B5"/>
    <w:rsid w:val="00C8609F"/>
    <w:rsid w:val="00C86A4C"/>
    <w:rsid w:val="00C90238"/>
    <w:rsid w:val="00C967AD"/>
    <w:rsid w:val="00C97505"/>
    <w:rsid w:val="00C97F48"/>
    <w:rsid w:val="00CA4CFA"/>
    <w:rsid w:val="00CE30A7"/>
    <w:rsid w:val="00CE73AC"/>
    <w:rsid w:val="00CF372F"/>
    <w:rsid w:val="00CF4A25"/>
    <w:rsid w:val="00CF74B8"/>
    <w:rsid w:val="00D21A7D"/>
    <w:rsid w:val="00D2767B"/>
    <w:rsid w:val="00D27773"/>
    <w:rsid w:val="00D35C4D"/>
    <w:rsid w:val="00D4333B"/>
    <w:rsid w:val="00D575AA"/>
    <w:rsid w:val="00D6328B"/>
    <w:rsid w:val="00D87B24"/>
    <w:rsid w:val="00D90A40"/>
    <w:rsid w:val="00D90C93"/>
    <w:rsid w:val="00D94485"/>
    <w:rsid w:val="00D94B38"/>
    <w:rsid w:val="00D9535D"/>
    <w:rsid w:val="00DA250D"/>
    <w:rsid w:val="00DA322B"/>
    <w:rsid w:val="00DA7240"/>
    <w:rsid w:val="00DC5753"/>
    <w:rsid w:val="00DD24C8"/>
    <w:rsid w:val="00DE7A31"/>
    <w:rsid w:val="00E05220"/>
    <w:rsid w:val="00E433FA"/>
    <w:rsid w:val="00E46B13"/>
    <w:rsid w:val="00E622F7"/>
    <w:rsid w:val="00E97A23"/>
    <w:rsid w:val="00EA43FF"/>
    <w:rsid w:val="00EA482C"/>
    <w:rsid w:val="00EA61FB"/>
    <w:rsid w:val="00EA69F7"/>
    <w:rsid w:val="00EC5811"/>
    <w:rsid w:val="00F017D3"/>
    <w:rsid w:val="00F137C3"/>
    <w:rsid w:val="00F333D7"/>
    <w:rsid w:val="00F41502"/>
    <w:rsid w:val="00F42A4E"/>
    <w:rsid w:val="00F445A1"/>
    <w:rsid w:val="00F75FF1"/>
    <w:rsid w:val="00F774FE"/>
    <w:rsid w:val="00F82A9F"/>
    <w:rsid w:val="00F83EA0"/>
    <w:rsid w:val="00F97AC8"/>
    <w:rsid w:val="00FA4799"/>
    <w:rsid w:val="00FC1C62"/>
    <w:rsid w:val="00FD3E03"/>
    <w:rsid w:val="00FF0A2F"/>
    <w:rsid w:val="00FF0F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40C9F"/>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character" w:styleId="FollowedHyperlink">
    <w:name w:val="FollowedHyperlink"/>
    <w:basedOn w:val="DefaultParagraphFont"/>
    <w:uiPriority w:val="99"/>
    <w:semiHidden/>
    <w:unhideWhenUsed/>
    <w:rsid w:val="009A0561"/>
    <w:rPr>
      <w:color w:val="800080" w:themeColor="followedHyperlink"/>
      <w:u w:val="single"/>
    </w:rPr>
  </w:style>
  <w:style w:type="numbering" w:customStyle="1" w:styleId="ImportedStyle1">
    <w:name w:val="Imported Style 1"/>
    <w:rsid w:val="00AD77AD"/>
    <w:pPr>
      <w:numPr>
        <w:numId w:val="23"/>
      </w:numPr>
    </w:pPr>
  </w:style>
  <w:style w:type="numbering" w:customStyle="1" w:styleId="2">
    <w:name w:val="Импортированный стиль 2"/>
    <w:rsid w:val="000844F3"/>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34715">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B501-DF97-45C1-8CFA-04D4D1E83213}">
  <ds:schemaRefs>
    <ds:schemaRef ds:uri="http://schemas.microsoft.com/sharepoint/v3/contenttype/forms"/>
  </ds:schemaRefs>
</ds:datastoreItem>
</file>

<file path=customXml/itemProps2.xml><?xml version="1.0" encoding="utf-8"?>
<ds:datastoreItem xmlns:ds="http://schemas.openxmlformats.org/officeDocument/2006/customXml" ds:itemID="{EB6293A8-6FEF-4061-917A-099ED4AADB0C}">
  <ds:schemaRefs>
    <ds:schemaRef ds:uri="http://schemas.microsoft.com/office/2006/metadata/properties"/>
  </ds:schemaRefs>
</ds:datastoreItem>
</file>

<file path=customXml/itemProps3.xml><?xml version="1.0" encoding="utf-8"?>
<ds:datastoreItem xmlns:ds="http://schemas.openxmlformats.org/officeDocument/2006/customXml" ds:itemID="{7F778969-5C99-4746-9F90-4BB3646A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68089-B51D-44E7-B76F-44BFF164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3098</Characters>
  <Application>Microsoft Office Word</Application>
  <DocSecurity>0</DocSecurity>
  <Lines>25</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2</cp:revision>
  <cp:lastPrinted>2018-05-18T08:32:00Z</cp:lastPrinted>
  <dcterms:created xsi:type="dcterms:W3CDTF">2022-04-21T06:41:00Z</dcterms:created>
  <dcterms:modified xsi:type="dcterms:W3CDTF">2022-04-21T06:41:00Z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