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  <w:bookmarkStart w:id="0" w:name="_GoBack"/>
      <w:bookmarkEnd w:id="0"/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11756A" w:rsidRPr="007E66D3" w:rsidRDefault="0011756A" w:rsidP="0011756A">
      <w:pPr>
        <w:pStyle w:val="Heading1"/>
        <w:jc w:val="both"/>
        <w:rPr>
          <w:b/>
          <w:color w:val="auto"/>
        </w:rPr>
      </w:pPr>
    </w:p>
    <w:p w:rsidR="0011756A" w:rsidRPr="00B45B50" w:rsidRDefault="00B45B50" w:rsidP="0011756A">
      <w:pPr>
        <w:pStyle w:val="Heading1"/>
        <w:jc w:val="both"/>
        <w:rPr>
          <w:rFonts w:ascii="Cambria" w:hAnsi="Cambria"/>
          <w:b/>
          <w:color w:val="auto"/>
          <w:lang w:val="en-GB"/>
        </w:rPr>
      </w:pPr>
      <w:r w:rsidRPr="00B45B50">
        <w:rPr>
          <w:rFonts w:ascii="Cambria" w:hAnsi="Cambria"/>
          <w:b/>
          <w:color w:val="auto"/>
          <w:lang w:val="en-GB"/>
        </w:rPr>
        <w:t>Keelealune allergeenispetsiifiline immuunravi</w:t>
      </w:r>
      <w:r w:rsidR="0011756A" w:rsidRPr="0079344D">
        <w:rPr>
          <w:rFonts w:asciiTheme="minorHAnsi" w:hAnsiTheme="minorHAnsi" w:cs="Times New Roman"/>
          <w:b/>
          <w:color w:val="auto"/>
          <w:sz w:val="40"/>
        </w:rPr>
        <w:t xml:space="preserve"> </w:t>
      </w:r>
      <w:r w:rsidR="0011756A" w:rsidRPr="007E66D3">
        <w:rPr>
          <w:b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EF74F5" wp14:editId="7666B750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06" w:rsidRDefault="00663906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A17034" w:rsidRDefault="00A17034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10822068</w:t>
                            </w:r>
                          </w:p>
                          <w:p w:rsidR="0011756A" w:rsidRPr="00C97F48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Tel 666 1900</w:t>
                            </w:r>
                          </w:p>
                          <w:p w:rsidR="0011756A" w:rsidRDefault="0011756A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-post </w:t>
                            </w:r>
                            <w:hyperlink r:id="rId8" w:history="1">
                              <w:r w:rsidR="00663906" w:rsidRPr="002D032F">
                                <w:rPr>
                                  <w:rStyle w:val="Hyperlink"/>
                                  <w:rFonts w:ascii="Helvetica LT Std Light" w:hAnsi="Helvetica LT Std Light"/>
                                  <w:sz w:val="16"/>
                                  <w:szCs w:val="16"/>
                                </w:rPr>
                                <w:t>info@itk.ee</w:t>
                              </w:r>
                            </w:hyperlink>
                          </w:p>
                          <w:p w:rsidR="00663906" w:rsidRPr="00C97F48" w:rsidRDefault="00663906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7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663906" w:rsidRDefault="00663906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A17034" w:rsidRDefault="00A17034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10822068</w:t>
                      </w:r>
                    </w:p>
                    <w:p w:rsidR="0011756A" w:rsidRPr="00C97F48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Tel 666 1900</w:t>
                      </w:r>
                    </w:p>
                    <w:p w:rsidR="0011756A" w:rsidRDefault="0011756A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-post </w:t>
                      </w:r>
                      <w:hyperlink r:id="rId9" w:history="1">
                        <w:r w:rsidR="00663906" w:rsidRPr="002D032F">
                          <w:rPr>
                            <w:rStyle w:val="Hyperlink"/>
                            <w:rFonts w:ascii="Helvetica LT Std Light" w:hAnsi="Helvetica LT Std Light"/>
                            <w:sz w:val="16"/>
                            <w:szCs w:val="16"/>
                          </w:rPr>
                          <w:t>info@itk.ee</w:t>
                        </w:r>
                      </w:hyperlink>
                    </w:p>
                    <w:p w:rsidR="00663906" w:rsidRPr="00C97F48" w:rsidRDefault="00663906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1756A" w:rsidRPr="007E66D3">
        <w:rPr>
          <w:b/>
          <w:noProof/>
          <w:color w:val="auto"/>
          <w:lang w:eastAsia="et-EE"/>
        </w:rPr>
        <w:drawing>
          <wp:anchor distT="0" distB="0" distL="114300" distR="114300" simplePos="0" relativeHeight="251659264" behindDoc="1" locked="0" layoutInCell="1" allowOverlap="1" wp14:anchorId="5D936FDF" wp14:editId="7C37A8EE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50" w:rsidRDefault="00B45B50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C07178" w:rsidRDefault="00C07178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11756A" w:rsidRPr="00C07178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et-EE"/>
        </w:rPr>
      </w:pPr>
      <w:r w:rsidRPr="00C07178">
        <w:rPr>
          <w:rFonts w:asciiTheme="minorHAnsi" w:hAnsiTheme="minorHAnsi"/>
          <w:szCs w:val="23"/>
          <w:lang w:val="et-EE"/>
        </w:rPr>
        <w:t>Patsiendi infomaterjal</w:t>
      </w:r>
    </w:p>
    <w:p w:rsidR="008B4A7B" w:rsidRPr="008B4A7B" w:rsidRDefault="008B4A7B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11756A" w:rsidRPr="008B4A7B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</w:p>
    <w:p w:rsidR="0025104B" w:rsidRPr="00C07178" w:rsidRDefault="006F4505" w:rsidP="00C07178">
      <w:pPr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Käesoleva infolehe eesmärgiks</w:t>
      </w:r>
      <w:r w:rsidR="0025104B" w:rsidRPr="00C07178">
        <w:rPr>
          <w:rFonts w:asciiTheme="minorHAnsi" w:hAnsiTheme="minorHAnsi" w:cstheme="minorHAnsi"/>
          <w:lang w:val="et-EE"/>
        </w:rPr>
        <w:t xml:space="preserve"> on anda patsiendile teavet keelealuse allergeenispetsiifilise immuunravi näidustuste, ravimi võtmise ja kõrvaltoimete kohta. 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 xml:space="preserve">Allergeenispetsiifilise  immuunravi korral saab patsient talle allergianähte põhjustanud </w:t>
      </w:r>
      <w:r w:rsidR="003B484A">
        <w:rPr>
          <w:rFonts w:asciiTheme="minorHAnsi" w:hAnsiTheme="minorHAnsi" w:cstheme="minorHAnsi"/>
          <w:lang w:val="et-EE"/>
        </w:rPr>
        <w:t>ainet (</w:t>
      </w:r>
      <w:r w:rsidRPr="00C07178">
        <w:rPr>
          <w:rFonts w:asciiTheme="minorHAnsi" w:hAnsiTheme="minorHAnsi" w:cstheme="minorHAnsi"/>
          <w:lang w:val="et-EE"/>
        </w:rPr>
        <w:t>allergeeni</w:t>
      </w:r>
      <w:r w:rsidR="003B484A">
        <w:rPr>
          <w:rFonts w:asciiTheme="minorHAnsi" w:hAnsiTheme="minorHAnsi" w:cstheme="minorHAnsi"/>
          <w:lang w:val="et-EE"/>
        </w:rPr>
        <w:t>)</w:t>
      </w:r>
      <w:r w:rsidRPr="00C07178">
        <w:rPr>
          <w:rFonts w:asciiTheme="minorHAnsi" w:hAnsiTheme="minorHAnsi" w:cstheme="minorHAnsi"/>
          <w:lang w:val="et-EE"/>
        </w:rPr>
        <w:t xml:space="preserve"> sisaldavat ravimit, et parandada selle allergeeni suhtes taluvust. Ravi </w:t>
      </w:r>
      <w:r w:rsidR="00861070">
        <w:rPr>
          <w:rFonts w:asciiTheme="minorHAnsi" w:hAnsiTheme="minorHAnsi" w:cstheme="minorHAnsi"/>
          <w:lang w:val="et-EE"/>
        </w:rPr>
        <w:t>alustatakse väga väikes</w:t>
      </w:r>
      <w:r w:rsidR="003B484A">
        <w:rPr>
          <w:rFonts w:asciiTheme="minorHAnsi" w:hAnsiTheme="minorHAnsi" w:cstheme="minorHAnsi"/>
          <w:lang w:val="et-EE"/>
        </w:rPr>
        <w:t xml:space="preserve">e </w:t>
      </w:r>
      <w:r w:rsidR="00861070">
        <w:rPr>
          <w:rFonts w:asciiTheme="minorHAnsi" w:hAnsiTheme="minorHAnsi" w:cstheme="minorHAnsi"/>
          <w:lang w:val="et-EE"/>
        </w:rPr>
        <w:t>annus</w:t>
      </w:r>
      <w:r w:rsidR="003B484A">
        <w:rPr>
          <w:rFonts w:asciiTheme="minorHAnsi" w:hAnsiTheme="minorHAnsi" w:cstheme="minorHAnsi"/>
          <w:lang w:val="et-EE"/>
        </w:rPr>
        <w:t>ega, annuse suurendamise faasis</w:t>
      </w:r>
      <w:r w:rsidR="00861070">
        <w:rPr>
          <w:rFonts w:asciiTheme="minorHAnsi" w:hAnsiTheme="minorHAnsi" w:cstheme="minorHAnsi"/>
          <w:lang w:val="et-EE"/>
        </w:rPr>
        <w:t xml:space="preserve"> tõstetakse allergeeni kogus</w:t>
      </w:r>
      <w:r w:rsidR="003B484A">
        <w:rPr>
          <w:rFonts w:asciiTheme="minorHAnsi" w:hAnsiTheme="minorHAnsi" w:cstheme="minorHAnsi"/>
          <w:lang w:val="et-EE"/>
        </w:rPr>
        <w:t xml:space="preserve"> püsiravi doosini ning ravi kestab kokku </w:t>
      </w:r>
      <w:r w:rsidRPr="00C07178">
        <w:rPr>
          <w:rFonts w:asciiTheme="minorHAnsi" w:hAnsiTheme="minorHAnsi" w:cstheme="minorHAnsi"/>
          <w:lang w:val="et-EE"/>
        </w:rPr>
        <w:t xml:space="preserve">3–5 aastat. 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bCs/>
          <w:lang w:val="et-EE"/>
        </w:rPr>
      </w:pPr>
      <w:r w:rsidRPr="00C07178">
        <w:rPr>
          <w:rFonts w:asciiTheme="minorHAnsi" w:hAnsiTheme="minorHAnsi" w:cstheme="minorHAnsi"/>
          <w:b/>
          <w:bCs/>
          <w:lang w:val="et-EE"/>
        </w:rPr>
        <w:t>Näidustused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bCs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Allergiline nohu/silmapõletik ja/või allergiline astma</w:t>
      </w:r>
      <w:r w:rsidR="003B484A">
        <w:rPr>
          <w:rFonts w:asciiTheme="minorHAnsi" w:hAnsiTheme="minorHAnsi" w:cstheme="minorHAnsi"/>
          <w:lang w:val="et-EE"/>
        </w:rPr>
        <w:t xml:space="preserve">, </w:t>
      </w:r>
      <w:r w:rsidRPr="00C07178">
        <w:rPr>
          <w:rFonts w:asciiTheme="minorHAnsi" w:hAnsiTheme="minorHAnsi" w:cstheme="minorHAnsi"/>
          <w:lang w:val="et-EE"/>
        </w:rPr>
        <w:t>kui vältimismeetmete ja allergiavastaste ravimitega e</w:t>
      </w:r>
      <w:r w:rsidR="0016454C">
        <w:rPr>
          <w:rFonts w:asciiTheme="minorHAnsi" w:hAnsiTheme="minorHAnsi" w:cstheme="minorHAnsi"/>
          <w:lang w:val="et-EE"/>
        </w:rPr>
        <w:t xml:space="preserve">i ole saavutatud kaebuste osas </w:t>
      </w:r>
      <w:r w:rsidRPr="00C07178">
        <w:rPr>
          <w:rFonts w:asciiTheme="minorHAnsi" w:hAnsiTheme="minorHAnsi" w:cstheme="minorHAnsi"/>
          <w:lang w:val="et-EE"/>
        </w:rPr>
        <w:t>olulist leevendust või on raske vältida kontakti allergeeniga.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  <w:r w:rsidRPr="00C07178">
        <w:rPr>
          <w:rFonts w:asciiTheme="minorHAnsi" w:hAnsiTheme="minorHAnsi" w:cstheme="minorHAnsi"/>
          <w:b/>
          <w:lang w:val="et-EE"/>
        </w:rPr>
        <w:t>Ravimi võtmine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Ravimit tuleb võtta üks kord päevas.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Annuse suurendamise faasis tuleb ravimit võtta vähemalt paar tundi enne magamaminekut.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 xml:space="preserve">5 minutit enne ja pärast ravimi võtmist ei tohi süüa ega juua. 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 xml:space="preserve">Ravimipudelit tuleb enne </w:t>
      </w:r>
      <w:r w:rsidR="00861070">
        <w:rPr>
          <w:rFonts w:asciiTheme="minorHAnsi" w:hAnsiTheme="minorHAnsi" w:cstheme="minorHAnsi"/>
          <w:lang w:val="et-EE"/>
        </w:rPr>
        <w:t xml:space="preserve">tarvitamist </w:t>
      </w:r>
      <w:r w:rsidRPr="00C07178">
        <w:rPr>
          <w:rFonts w:asciiTheme="minorHAnsi" w:hAnsiTheme="minorHAnsi" w:cstheme="minorHAnsi"/>
          <w:lang w:val="et-EE"/>
        </w:rPr>
        <w:t>loksutada.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Ravimit tuleb tilgutada keele alla vastavalt ravimiga kaasas olevale skeemile:</w:t>
      </w:r>
    </w:p>
    <w:p w:rsidR="0025104B" w:rsidRPr="00C07178" w:rsidRDefault="0025104B" w:rsidP="00C07178">
      <w:pPr>
        <w:numPr>
          <w:ilvl w:val="1"/>
          <w:numId w:val="19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esime</w:t>
      </w:r>
      <w:r w:rsidR="00942F63">
        <w:rPr>
          <w:rFonts w:asciiTheme="minorHAnsi" w:hAnsiTheme="minorHAnsi" w:cstheme="minorHAnsi"/>
          <w:lang w:val="et-EE"/>
        </w:rPr>
        <w:t>s</w:t>
      </w:r>
      <w:r w:rsidRPr="00C07178">
        <w:rPr>
          <w:rFonts w:asciiTheme="minorHAnsi" w:hAnsiTheme="minorHAnsi" w:cstheme="minorHAnsi"/>
          <w:lang w:val="et-EE"/>
        </w:rPr>
        <w:t>e</w:t>
      </w:r>
      <w:r w:rsidR="00942F63">
        <w:rPr>
          <w:rFonts w:asciiTheme="minorHAnsi" w:hAnsiTheme="minorHAnsi" w:cstheme="minorHAnsi"/>
          <w:lang w:val="et-EE"/>
        </w:rPr>
        <w:t>l</w:t>
      </w:r>
      <w:r w:rsidRPr="00C07178">
        <w:rPr>
          <w:rFonts w:asciiTheme="minorHAnsi" w:hAnsiTheme="minorHAnsi" w:cstheme="minorHAnsi"/>
          <w:lang w:val="et-EE"/>
        </w:rPr>
        <w:t xml:space="preserve"> päev</w:t>
      </w:r>
      <w:r w:rsidR="00942F63">
        <w:rPr>
          <w:rFonts w:asciiTheme="minorHAnsi" w:hAnsiTheme="minorHAnsi" w:cstheme="minorHAnsi"/>
          <w:lang w:val="et-EE"/>
        </w:rPr>
        <w:t>al</w:t>
      </w:r>
      <w:r w:rsidRPr="00C07178">
        <w:rPr>
          <w:rFonts w:asciiTheme="minorHAnsi" w:hAnsiTheme="minorHAnsi" w:cstheme="minorHAnsi"/>
          <w:lang w:val="et-EE"/>
        </w:rPr>
        <w:t xml:space="preserve"> 1 tilk,</w:t>
      </w:r>
    </w:p>
    <w:p w:rsidR="0025104B" w:rsidRPr="00C07178" w:rsidRDefault="0025104B" w:rsidP="00C07178">
      <w:pPr>
        <w:numPr>
          <w:ilvl w:val="1"/>
          <w:numId w:val="19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oluliste kõrvaltoimete puudumisel suurendada igal järgmisel päeval kogust 1 tilga võrra kuni 5 tilgani päevas,</w:t>
      </w:r>
    </w:p>
    <w:p w:rsidR="0025104B" w:rsidRPr="00C07178" w:rsidRDefault="0025104B" w:rsidP="00C07178">
      <w:pPr>
        <w:numPr>
          <w:ilvl w:val="1"/>
          <w:numId w:val="19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püsiravina (taluvuse korral) iga päev 5 tilka.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Hoida ravimit keele all 2–3 minutit, seejärel neelata alla.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Registreerimislehele tuleb kirja panna ravimi võtmine ja kõrvaltoimed nende tekkimisel.</w:t>
      </w:r>
    </w:p>
    <w:p w:rsidR="0025104B" w:rsidRPr="00C07178" w:rsidRDefault="0025104B" w:rsidP="00C07178">
      <w:pPr>
        <w:numPr>
          <w:ilvl w:val="0"/>
          <w:numId w:val="18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</w:rPr>
        <w:t>La</w:t>
      </w:r>
      <w:r w:rsidR="008A07F2">
        <w:rPr>
          <w:rFonts w:asciiTheme="minorHAnsi" w:hAnsiTheme="minorHAnsi" w:cstheme="minorHAnsi"/>
        </w:rPr>
        <w:t xml:space="preserve">ps võib ravimit võtta </w:t>
      </w:r>
      <w:r w:rsidRPr="00C07178">
        <w:rPr>
          <w:rFonts w:asciiTheme="minorHAnsi" w:hAnsiTheme="minorHAnsi" w:cstheme="minorHAnsi"/>
        </w:rPr>
        <w:t>ainult täiskasvanu järel</w:t>
      </w:r>
      <w:r w:rsidR="00942F63">
        <w:rPr>
          <w:rFonts w:asciiTheme="minorHAnsi" w:hAnsiTheme="minorHAnsi" w:cstheme="minorHAnsi"/>
        </w:rPr>
        <w:t>e</w:t>
      </w:r>
      <w:r w:rsidRPr="00C07178">
        <w:rPr>
          <w:rFonts w:asciiTheme="minorHAnsi" w:hAnsiTheme="minorHAnsi" w:cstheme="minorHAnsi"/>
        </w:rPr>
        <w:t>valve all</w:t>
      </w:r>
      <w:r w:rsidR="00861070">
        <w:rPr>
          <w:rFonts w:asciiTheme="minorHAnsi" w:hAnsiTheme="minorHAnsi" w:cstheme="minorHAnsi"/>
        </w:rPr>
        <w:t xml:space="preserve"> ning teda tuleb jälgida</w:t>
      </w:r>
      <w:r w:rsidR="00942F63">
        <w:rPr>
          <w:rFonts w:asciiTheme="minorHAnsi" w:hAnsiTheme="minorHAnsi" w:cstheme="minorHAnsi"/>
        </w:rPr>
        <w:t xml:space="preserve"> 3</w:t>
      </w:r>
      <w:r w:rsidR="0016454C">
        <w:rPr>
          <w:rFonts w:asciiTheme="minorHAnsi" w:hAnsiTheme="minorHAnsi" w:cstheme="minorHAnsi"/>
        </w:rPr>
        <w:t>0 minuti jooksul</w:t>
      </w:r>
      <w:r w:rsidRPr="00C07178">
        <w:rPr>
          <w:rFonts w:asciiTheme="minorHAnsi" w:hAnsiTheme="minorHAnsi" w:cstheme="minorHAnsi"/>
        </w:rPr>
        <w:t xml:space="preserve"> pärast ravimi võtmist</w:t>
      </w:r>
      <w:r w:rsidR="00942F63">
        <w:rPr>
          <w:rFonts w:asciiTheme="minorHAnsi" w:hAnsiTheme="minorHAnsi" w:cstheme="minorHAnsi"/>
        </w:rPr>
        <w:t>.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Default="0025104B" w:rsidP="00C07178">
      <w:pPr>
        <w:jc w:val="both"/>
        <w:rPr>
          <w:rFonts w:asciiTheme="minorHAnsi" w:hAnsiTheme="minorHAnsi" w:cstheme="minorHAnsi"/>
          <w:b/>
        </w:rPr>
      </w:pPr>
      <w:r w:rsidRPr="00C07178">
        <w:rPr>
          <w:rFonts w:asciiTheme="minorHAnsi" w:hAnsiTheme="minorHAnsi" w:cstheme="minorHAnsi"/>
          <w:b/>
        </w:rPr>
        <w:t>Millal tuleb ravi katkestada?</w:t>
      </w:r>
    </w:p>
    <w:p w:rsidR="00C07178" w:rsidRPr="00C07178" w:rsidRDefault="00C07178" w:rsidP="00C07178">
      <w:pPr>
        <w:jc w:val="both"/>
        <w:rPr>
          <w:rFonts w:asciiTheme="minorHAnsi" w:hAnsiTheme="minorHAnsi" w:cstheme="minorHAnsi"/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87"/>
      </w:tblGrid>
      <w:tr w:rsidR="0025104B" w:rsidRPr="00C07178" w:rsidTr="008863EF">
        <w:tc>
          <w:tcPr>
            <w:tcW w:w="4928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Ravi katkestamise põhjus</w:t>
            </w:r>
          </w:p>
        </w:tc>
        <w:tc>
          <w:tcPr>
            <w:tcW w:w="5471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Kestus</w:t>
            </w:r>
          </w:p>
        </w:tc>
      </w:tr>
      <w:tr w:rsidR="0025104B" w:rsidRPr="00C07178" w:rsidTr="008863EF"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Vaktsineerimine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Vaktsineerimise päeval ja järgmisel päeval; vaktsiini kõrvaltoimete tekkimisel nende möödumiseni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lastRenderedPageBreak/>
              <w:t>Astma või allergia ägenemine (nt õitseperioodil)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Ägenemise möödumiseni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Äge haigus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Halva enesetunde või palaviku möödumiseni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Äge hingamisteede infektsioon astmaatikul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Sümptomite möödumiseni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 xml:space="preserve">Suuhaigus või </w:t>
            </w:r>
            <w:r w:rsidR="00053CD3">
              <w:rPr>
                <w:rFonts w:asciiTheme="minorHAnsi" w:hAnsiTheme="minorHAnsi" w:cstheme="minorHAnsi"/>
                <w:lang w:val="et-EE"/>
              </w:rPr>
              <w:t>–</w:t>
            </w:r>
            <w:r w:rsidRPr="00C07178">
              <w:rPr>
                <w:rFonts w:asciiTheme="minorHAnsi" w:hAnsiTheme="minorHAnsi" w:cstheme="minorHAnsi"/>
                <w:lang w:val="et-EE"/>
              </w:rPr>
              <w:t>trauma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  <w:r w:rsidRPr="00C07178">
              <w:rPr>
                <w:rFonts w:asciiTheme="minorHAnsi" w:hAnsiTheme="minorHAnsi" w:cstheme="minorHAnsi"/>
                <w:lang w:val="et-EE"/>
              </w:rPr>
              <w:t xml:space="preserve"> 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Tervenemiseni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rPr>
          <w:trHeight w:val="411"/>
        </w:trPr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Suuoperatsioon (k.a hamba väljatõmb</w:t>
            </w:r>
            <w:r w:rsidR="00053CD3">
              <w:rPr>
                <w:rFonts w:asciiTheme="minorHAnsi" w:hAnsiTheme="minorHAnsi" w:cstheme="minorHAnsi"/>
                <w:lang w:val="et-EE"/>
              </w:rPr>
              <w:t>amine) või piimahamba äratulek.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7 päeva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rPr>
          <w:trHeight w:val="451"/>
        </w:trPr>
        <w:tc>
          <w:tcPr>
            <w:tcW w:w="4928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Suukaudse põletikuvastase hormoonravi (prednisoloon, hüdrokortisoon, deksametasoon) või mu</w:t>
            </w:r>
            <w:r w:rsidR="00053CD3">
              <w:rPr>
                <w:rFonts w:asciiTheme="minorHAnsi" w:hAnsiTheme="minorHAnsi" w:cstheme="minorHAnsi"/>
                <w:lang w:val="et-EE"/>
              </w:rPr>
              <w:t>u immuunsust pärssiva ravi ajal.</w:t>
            </w:r>
          </w:p>
        </w:tc>
        <w:tc>
          <w:tcPr>
            <w:tcW w:w="547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Allergoloogi määratud ajani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</w:tbl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  <w:r w:rsidRPr="00C07178">
        <w:rPr>
          <w:rFonts w:asciiTheme="minorHAnsi" w:hAnsiTheme="minorHAnsi" w:cstheme="minorHAnsi"/>
          <w:b/>
          <w:lang w:val="et-EE"/>
        </w:rPr>
        <w:t>Mida teha, kui ravi katkeb?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641"/>
      </w:tblGrid>
      <w:tr w:rsidR="0025104B" w:rsidRPr="00C07178" w:rsidTr="008863EF">
        <w:tc>
          <w:tcPr>
            <w:tcW w:w="1951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Katkestuse kestus</w:t>
            </w:r>
          </w:p>
        </w:tc>
        <w:tc>
          <w:tcPr>
            <w:tcW w:w="8448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Raviskeem</w:t>
            </w:r>
          </w:p>
        </w:tc>
      </w:tr>
      <w:tr w:rsidR="0025104B" w:rsidRPr="00C07178" w:rsidTr="008863EF">
        <w:tc>
          <w:tcPr>
            <w:tcW w:w="195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1–7 päeva</w:t>
            </w:r>
          </w:p>
        </w:tc>
        <w:tc>
          <w:tcPr>
            <w:tcW w:w="8448" w:type="dxa"/>
            <w:shd w:val="clear" w:color="auto" w:fill="auto"/>
          </w:tcPr>
          <w:p w:rsidR="0025104B" w:rsidRPr="00C07178" w:rsidRDefault="003350B6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>ttenähtud annuses (jätkata sama skeemi järgi, nagu enne ravi katkestamist)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95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8–14 päeva</w:t>
            </w:r>
          </w:p>
        </w:tc>
        <w:tc>
          <w:tcPr>
            <w:tcW w:w="8448" w:type="dxa"/>
            <w:shd w:val="clear" w:color="auto" w:fill="auto"/>
          </w:tcPr>
          <w:p w:rsidR="0025104B" w:rsidRPr="00C07178" w:rsidRDefault="003350B6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>simesel päeval 1 tilk vähem</w:t>
            </w:r>
            <w:r>
              <w:rPr>
                <w:rFonts w:asciiTheme="minorHAnsi" w:hAnsiTheme="minorHAnsi" w:cstheme="minorHAnsi"/>
                <w:lang w:val="et-EE"/>
              </w:rPr>
              <w:t>,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 xml:space="preserve"> kui enne ravi katkestamist, edasi suurendada annust 1 tilga kaupa päevas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95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15–21 päeva</w:t>
            </w:r>
          </w:p>
        </w:tc>
        <w:tc>
          <w:tcPr>
            <w:tcW w:w="8448" w:type="dxa"/>
            <w:shd w:val="clear" w:color="auto" w:fill="auto"/>
          </w:tcPr>
          <w:p w:rsidR="0025104B" w:rsidRPr="00C07178" w:rsidRDefault="003350B6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>simesel päeval 2 tilka vähem</w:t>
            </w:r>
            <w:r>
              <w:rPr>
                <w:rFonts w:asciiTheme="minorHAnsi" w:hAnsiTheme="minorHAnsi" w:cstheme="minorHAnsi"/>
                <w:lang w:val="et-EE"/>
              </w:rPr>
              <w:t>,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 xml:space="preserve"> kui enne ravi katkestamist, edasi suurendada annust 1 tilga kaupa päevas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95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22–28 päeva</w:t>
            </w:r>
          </w:p>
        </w:tc>
        <w:tc>
          <w:tcPr>
            <w:tcW w:w="8448" w:type="dxa"/>
            <w:shd w:val="clear" w:color="auto" w:fill="auto"/>
          </w:tcPr>
          <w:p w:rsidR="0025104B" w:rsidRPr="00C07178" w:rsidRDefault="003350B6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E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>simesel päeval 3 tilka vähem</w:t>
            </w:r>
            <w:r>
              <w:rPr>
                <w:rFonts w:asciiTheme="minorHAnsi" w:hAnsiTheme="minorHAnsi" w:cstheme="minorHAnsi"/>
                <w:lang w:val="et-EE"/>
              </w:rPr>
              <w:t>,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 xml:space="preserve"> kui enne ravi katkestamist, edasi suurendada annust 1 tilga kaupa päevas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95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üle 28 päeva</w:t>
            </w:r>
          </w:p>
        </w:tc>
        <w:tc>
          <w:tcPr>
            <w:tcW w:w="8448" w:type="dxa"/>
            <w:shd w:val="clear" w:color="auto" w:fill="auto"/>
          </w:tcPr>
          <w:p w:rsidR="0025104B" w:rsidRPr="00C07178" w:rsidRDefault="003350B6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A</w:t>
            </w:r>
            <w:r w:rsidR="0025104B" w:rsidRPr="00C07178">
              <w:rPr>
                <w:rFonts w:asciiTheme="minorHAnsi" w:hAnsiTheme="minorHAnsi" w:cstheme="minorHAnsi"/>
                <w:lang w:val="et-EE"/>
              </w:rPr>
              <w:t>lustada skeemi järgi algusest - ühest tilgast päevas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</w:tbl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  <w:r w:rsidRPr="00C07178">
        <w:rPr>
          <w:rFonts w:asciiTheme="minorHAnsi" w:hAnsiTheme="minorHAnsi" w:cstheme="minorHAnsi"/>
          <w:b/>
          <w:lang w:val="et-EE"/>
        </w:rPr>
        <w:t>Kõrvaltoimed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Ravim võib tekitada allergianähte, eriti esimestel ravinädalatel. Nähud tekivad enamasti 30 minuti jooksul pärast ravimi võtmist ja on tavaliselt kerged.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774"/>
        <w:gridCol w:w="3793"/>
      </w:tblGrid>
      <w:tr w:rsidR="0025104B" w:rsidRPr="00C07178" w:rsidTr="008863EF">
        <w:tc>
          <w:tcPr>
            <w:tcW w:w="1721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Kõrvaltoimete esinemissagedus</w:t>
            </w:r>
          </w:p>
        </w:tc>
        <w:tc>
          <w:tcPr>
            <w:tcW w:w="3774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Sümptomid</w:t>
            </w:r>
          </w:p>
        </w:tc>
        <w:tc>
          <w:tcPr>
            <w:tcW w:w="3793" w:type="dxa"/>
            <w:shd w:val="clear" w:color="auto" w:fill="D9D9D9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b/>
                <w:lang w:val="et-EE"/>
              </w:rPr>
            </w:pPr>
            <w:r w:rsidRPr="00C07178">
              <w:rPr>
                <w:rFonts w:asciiTheme="minorHAnsi" w:hAnsiTheme="minorHAnsi" w:cstheme="minorHAnsi"/>
                <w:b/>
                <w:lang w:val="et-EE"/>
              </w:rPr>
              <w:t>Mida teha?</w:t>
            </w:r>
          </w:p>
        </w:tc>
      </w:tr>
      <w:tr w:rsidR="0025104B" w:rsidRPr="00C07178" w:rsidTr="008863EF">
        <w:tc>
          <w:tcPr>
            <w:tcW w:w="172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Sage</w:t>
            </w:r>
          </w:p>
        </w:tc>
        <w:tc>
          <w:tcPr>
            <w:tcW w:w="3774" w:type="dxa"/>
            <w:shd w:val="clear" w:color="auto" w:fill="auto"/>
          </w:tcPr>
          <w:p w:rsidR="0025104B" w:rsidRPr="00C07178" w:rsidRDefault="0025104B" w:rsidP="00053CD3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 xml:space="preserve">Kerge </w:t>
            </w:r>
            <w:r w:rsidR="00053CD3" w:rsidRPr="00C07178">
              <w:rPr>
                <w:rFonts w:asciiTheme="minorHAnsi" w:hAnsiTheme="minorHAnsi" w:cstheme="minorHAnsi"/>
                <w:lang w:val="et-EE"/>
              </w:rPr>
              <w:t xml:space="preserve">sügelus või </w:t>
            </w:r>
            <w:r w:rsidR="00053CD3" w:rsidRPr="00C07178">
              <w:rPr>
                <w:rFonts w:asciiTheme="minorHAnsi" w:hAnsiTheme="minorHAnsi" w:cstheme="minorHAnsi"/>
              </w:rPr>
              <w:t>tursetunne</w:t>
            </w:r>
            <w:r w:rsidR="00053CD3">
              <w:rPr>
                <w:rFonts w:asciiTheme="minorHAnsi" w:hAnsiTheme="minorHAnsi" w:cstheme="minorHAnsi"/>
              </w:rPr>
              <w:t xml:space="preserve"> </w:t>
            </w:r>
            <w:r w:rsidRPr="00C07178">
              <w:rPr>
                <w:rFonts w:asciiTheme="minorHAnsi" w:hAnsiTheme="minorHAnsi" w:cstheme="minorHAnsi"/>
                <w:lang w:val="et-EE"/>
              </w:rPr>
              <w:t>suu</w:t>
            </w:r>
            <w:r w:rsidR="00053CD3">
              <w:rPr>
                <w:rFonts w:asciiTheme="minorHAnsi" w:hAnsiTheme="minorHAnsi" w:cstheme="minorHAnsi"/>
                <w:lang w:val="et-EE"/>
              </w:rPr>
              <w:t>s</w:t>
            </w:r>
            <w:r w:rsidRPr="00C07178">
              <w:rPr>
                <w:rFonts w:asciiTheme="minorHAnsi" w:hAnsiTheme="minorHAnsi" w:cstheme="minorHAnsi"/>
                <w:lang w:val="et-EE"/>
              </w:rPr>
              <w:t>, huulte</w:t>
            </w:r>
            <w:r w:rsidR="00053CD3">
              <w:rPr>
                <w:rFonts w:asciiTheme="minorHAnsi" w:hAnsiTheme="minorHAnsi" w:cstheme="minorHAnsi"/>
                <w:lang w:val="et-EE"/>
              </w:rPr>
              <w:t>l</w:t>
            </w:r>
            <w:r w:rsidRPr="00C07178">
              <w:rPr>
                <w:rFonts w:asciiTheme="minorHAnsi" w:hAnsiTheme="minorHAnsi" w:cstheme="minorHAnsi"/>
                <w:lang w:val="et-EE"/>
              </w:rPr>
              <w:t>, keele</w:t>
            </w:r>
            <w:r w:rsidR="00053CD3">
              <w:rPr>
                <w:rFonts w:asciiTheme="minorHAnsi" w:hAnsiTheme="minorHAnsi" w:cstheme="minorHAnsi"/>
                <w:lang w:val="et-EE"/>
              </w:rPr>
              <w:t>l</w:t>
            </w:r>
            <w:r w:rsidRPr="00C07178">
              <w:rPr>
                <w:rFonts w:asciiTheme="minorHAnsi" w:hAnsiTheme="minorHAnsi" w:cstheme="minorHAnsi"/>
                <w:lang w:val="et-EE"/>
              </w:rPr>
              <w:t xml:space="preserve"> või kurgu</w:t>
            </w:r>
            <w:r w:rsidR="00053CD3">
              <w:rPr>
                <w:rFonts w:asciiTheme="minorHAnsi" w:hAnsiTheme="minorHAnsi" w:cstheme="minorHAnsi"/>
                <w:lang w:val="et-EE"/>
              </w:rPr>
              <w:t>s.</w:t>
            </w:r>
            <w:r w:rsidRPr="00C07178">
              <w:rPr>
                <w:rFonts w:asciiTheme="minorHAnsi" w:hAnsiTheme="minorHAnsi" w:cstheme="minorHAnsi"/>
                <w:lang w:val="et-EE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Nähud mööduvad tavaliselt kiiresti ilma ravita. Juhul, kui need nähud on häirivad, tuleb võtta allergiavastast ravimit kas kaebuste tekkimisel või ennetavalt (30–60 minutit</w:t>
            </w:r>
            <w:r w:rsidR="00E036A8">
              <w:rPr>
                <w:rFonts w:asciiTheme="minorHAnsi" w:hAnsiTheme="minorHAnsi" w:cstheme="minorHAnsi"/>
                <w:lang w:val="et-EE"/>
              </w:rPr>
              <w:t xml:space="preserve"> enne ravimilahuse tarvitamist)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72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Harva</w:t>
            </w:r>
          </w:p>
        </w:tc>
        <w:tc>
          <w:tcPr>
            <w:tcW w:w="3774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 xml:space="preserve">Iiveldus, kõhuvalu, </w:t>
            </w:r>
            <w:r w:rsidRPr="00C07178">
              <w:rPr>
                <w:rFonts w:asciiTheme="minorHAnsi" w:hAnsiTheme="minorHAnsi" w:cstheme="minorHAnsi"/>
              </w:rPr>
              <w:t>vesine nohu, aevastamine, ninakinnisus, silmade või kõrvade sügelemine, lööve, hingamisraskus, köha</w:t>
            </w:r>
            <w:r w:rsidR="00053C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Võtta allergiavastast ravimit. Ravi jätkamise</w:t>
            </w:r>
            <w:r w:rsidR="00E036A8">
              <w:rPr>
                <w:rFonts w:asciiTheme="minorHAnsi" w:hAnsiTheme="minorHAnsi" w:cstheme="minorHAnsi"/>
                <w:lang w:val="et-EE"/>
              </w:rPr>
              <w:t xml:space="preserve"> osas konsulteerida raviarstiga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  <w:tr w:rsidR="0025104B" w:rsidRPr="00C07178" w:rsidTr="008863EF">
        <w:tc>
          <w:tcPr>
            <w:tcW w:w="1721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Väga harva</w:t>
            </w:r>
          </w:p>
        </w:tc>
        <w:tc>
          <w:tcPr>
            <w:tcW w:w="3774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Raske üldine allergiline reaktsioon (anafülaksia), mille korral tekivad ja süvenevad kiiresti mitmed tugevad allergiasümptomid.</w:t>
            </w:r>
          </w:p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 xml:space="preserve">Ohule viitavad: 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 xml:space="preserve">üldine tugev sügelus või kuumatunne, eriti pealael, </w:t>
            </w:r>
            <w:r w:rsidRPr="00C07178">
              <w:rPr>
                <w:rFonts w:asciiTheme="minorHAnsi" w:hAnsiTheme="minorHAnsi" w:cstheme="minorHAnsi"/>
              </w:rPr>
              <w:lastRenderedPageBreak/>
              <w:t>suus, kurgus, peopesades, jalataldadel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raske või vilisev hingamine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laialdane nõgeslööve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huulte või kurgu turse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kahvatu või hallikas nahk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südamepekslemine</w:t>
            </w:r>
            <w:r w:rsidR="00053CD3">
              <w:rPr>
                <w:rFonts w:asciiTheme="minorHAnsi" w:hAnsiTheme="minorHAnsi" w:cstheme="minorHAnsi"/>
              </w:rPr>
              <w:t>;</w:t>
            </w:r>
          </w:p>
          <w:p w:rsidR="0025104B" w:rsidRPr="00C07178" w:rsidRDefault="0025104B" w:rsidP="00C07178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C07178">
              <w:rPr>
                <w:rFonts w:asciiTheme="minorHAnsi" w:hAnsiTheme="minorHAnsi" w:cstheme="minorHAnsi"/>
              </w:rPr>
              <w:t>minestustunne või teadvuse kadu</w:t>
            </w:r>
            <w:r w:rsidR="00053C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lastRenderedPageBreak/>
              <w:t>Kutsuda kiirabi.</w:t>
            </w:r>
          </w:p>
          <w:p w:rsidR="0025104B" w:rsidRPr="00C07178" w:rsidRDefault="0025104B" w:rsidP="00C07178">
            <w:pPr>
              <w:jc w:val="both"/>
              <w:rPr>
                <w:rFonts w:asciiTheme="minorHAnsi" w:hAnsiTheme="minorHAnsi" w:cstheme="minorHAnsi"/>
                <w:lang w:val="et-EE"/>
              </w:rPr>
            </w:pPr>
            <w:r w:rsidRPr="00C07178">
              <w:rPr>
                <w:rFonts w:asciiTheme="minorHAnsi" w:hAnsiTheme="minorHAnsi" w:cstheme="minorHAnsi"/>
                <w:lang w:val="et-EE"/>
              </w:rPr>
              <w:t>Ravi jätkamise osas konsulteerida raviarstiga</w:t>
            </w:r>
            <w:r w:rsidR="00053CD3">
              <w:rPr>
                <w:rFonts w:asciiTheme="minorHAnsi" w:hAnsiTheme="minorHAnsi" w:cstheme="minorHAnsi"/>
                <w:lang w:val="et-EE"/>
              </w:rPr>
              <w:t>.</w:t>
            </w:r>
          </w:p>
        </w:tc>
      </w:tr>
    </w:tbl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  <w:r w:rsidRPr="00C07178">
        <w:rPr>
          <w:rFonts w:asciiTheme="minorHAnsi" w:hAnsiTheme="minorHAnsi" w:cstheme="minorHAnsi"/>
          <w:b/>
          <w:lang w:val="et-EE"/>
        </w:rPr>
        <w:t>Ravimi säilitamine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Avamata ravimilahust tuleb säilitada külmkapis</w:t>
      </w:r>
      <w:r w:rsidR="00053CD3">
        <w:rPr>
          <w:rFonts w:asciiTheme="minorHAnsi" w:hAnsiTheme="minorHAnsi" w:cstheme="minorHAnsi"/>
          <w:lang w:val="et-EE"/>
        </w:rPr>
        <w:t xml:space="preserve"> tempetaruuril </w:t>
      </w:r>
      <w:r w:rsidR="00053CD3" w:rsidRPr="0016454C">
        <w:t xml:space="preserve">+2...+8 </w:t>
      </w:r>
      <w:r w:rsidR="00053CD3">
        <w:rPr>
          <w:rFonts w:ascii="Arial" w:hAnsi="Arial" w:cs="Arial"/>
          <w:sz w:val="20"/>
          <w:szCs w:val="20"/>
        </w:rPr>
        <w:t xml:space="preserve">°C </w:t>
      </w:r>
      <w:r w:rsidRPr="00C07178">
        <w:rPr>
          <w:rFonts w:asciiTheme="minorHAnsi" w:hAnsiTheme="minorHAnsi" w:cstheme="minorHAnsi"/>
          <w:lang w:val="et-EE"/>
        </w:rPr>
        <w:t>(ravimit ei tohi lasta külmuda).</w:t>
      </w:r>
    </w:p>
    <w:p w:rsidR="0025104B" w:rsidRPr="00C07178" w:rsidRDefault="0025104B" w:rsidP="00C07178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Avatud ravimilahust võib säilitada kuni 6 kuud toatemperatuuril alla 25 ˚C  või külmkapis (</w:t>
      </w:r>
      <w:r w:rsidR="00D90085">
        <w:rPr>
          <w:rFonts w:asciiTheme="minorHAnsi" w:hAnsiTheme="minorHAnsi" w:cstheme="minorHAnsi"/>
          <w:lang w:val="et-EE"/>
        </w:rPr>
        <w:t xml:space="preserve">ravimit </w:t>
      </w:r>
      <w:r w:rsidRPr="00C07178">
        <w:rPr>
          <w:rFonts w:asciiTheme="minorHAnsi" w:hAnsiTheme="minorHAnsi" w:cstheme="minorHAnsi"/>
          <w:lang w:val="et-EE"/>
        </w:rPr>
        <w:t>ei tohi  lasta külmuda).</w:t>
      </w:r>
    </w:p>
    <w:p w:rsidR="0025104B" w:rsidRPr="00C07178" w:rsidRDefault="0025104B" w:rsidP="00C07178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 xml:space="preserve">Heinte õietolmu lahust võib säilitada kuni 3 kuud toatemperatuuril või kuni 6 kuud külmkapis. 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5F0D56" w:rsidP="00C07178">
      <w:pPr>
        <w:jc w:val="both"/>
        <w:rPr>
          <w:rFonts w:asciiTheme="minorHAnsi" w:hAnsiTheme="minorHAnsi" w:cstheme="minorHAnsi"/>
          <w:lang w:val="et-EE"/>
        </w:rPr>
      </w:pPr>
      <w:r>
        <w:rPr>
          <w:rFonts w:asciiTheme="minorHAnsi" w:hAnsiTheme="minorHAnsi" w:cstheme="minorHAnsi"/>
          <w:lang w:val="et-EE"/>
        </w:rPr>
        <w:t>Kui järgitakse</w:t>
      </w:r>
      <w:r w:rsidR="0025104B" w:rsidRPr="00C07178">
        <w:rPr>
          <w:rFonts w:asciiTheme="minorHAnsi" w:hAnsiTheme="minorHAnsi" w:cstheme="minorHAnsi"/>
          <w:lang w:val="et-EE"/>
        </w:rPr>
        <w:t xml:space="preserve"> </w:t>
      </w:r>
      <w:r w:rsidR="0025104B" w:rsidRPr="00C07178">
        <w:rPr>
          <w:rFonts w:asciiTheme="minorHAnsi" w:hAnsiTheme="minorHAnsi" w:cstheme="minorHAnsi"/>
        </w:rPr>
        <w:t xml:space="preserve">säilitustingimusi, võib </w:t>
      </w:r>
      <w:r w:rsidR="0025104B" w:rsidRPr="00C07178">
        <w:rPr>
          <w:rFonts w:asciiTheme="minorHAnsi" w:hAnsiTheme="minorHAnsi" w:cstheme="minorHAnsi"/>
          <w:lang w:val="et-EE"/>
        </w:rPr>
        <w:t>ravimit</w:t>
      </w:r>
      <w:r w:rsidR="00E036A8">
        <w:rPr>
          <w:rFonts w:asciiTheme="minorHAnsi" w:hAnsiTheme="minorHAnsi" w:cstheme="minorHAnsi"/>
          <w:lang w:val="et-EE"/>
        </w:rPr>
        <w:t xml:space="preserve"> </w:t>
      </w:r>
      <w:r w:rsidR="0025104B" w:rsidRPr="00C07178">
        <w:rPr>
          <w:rFonts w:asciiTheme="minorHAnsi" w:hAnsiTheme="minorHAnsi" w:cstheme="minorHAnsi"/>
          <w:lang w:val="et-EE"/>
        </w:rPr>
        <w:t>kasutada kuni karbil ja pudelil märgitud säilivusaja (EXP) kuupäevani.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25104B" w:rsidP="00C07178">
      <w:pPr>
        <w:jc w:val="both"/>
        <w:rPr>
          <w:rFonts w:asciiTheme="minorHAnsi" w:hAnsiTheme="minorHAnsi" w:cstheme="minorHAnsi"/>
          <w:lang w:val="et-EE"/>
        </w:rPr>
      </w:pPr>
    </w:p>
    <w:p w:rsidR="0025104B" w:rsidRPr="00C07178" w:rsidRDefault="006F4505" w:rsidP="00C07178">
      <w:pPr>
        <w:jc w:val="both"/>
        <w:rPr>
          <w:rFonts w:asciiTheme="minorHAnsi" w:hAnsiTheme="minorHAnsi" w:cstheme="minorHAnsi"/>
          <w:b/>
          <w:lang w:val="et-EE"/>
        </w:rPr>
      </w:pPr>
      <w:r>
        <w:rPr>
          <w:rFonts w:asciiTheme="minorHAnsi" w:hAnsiTheme="minorHAnsi" w:cstheme="minorHAnsi"/>
          <w:b/>
          <w:lang w:val="et-EE"/>
        </w:rPr>
        <w:t>Raviarsti</w:t>
      </w:r>
      <w:r w:rsidR="0025104B" w:rsidRPr="00C07178">
        <w:rPr>
          <w:rFonts w:asciiTheme="minorHAnsi" w:hAnsiTheme="minorHAnsi" w:cstheme="minorHAnsi"/>
          <w:b/>
          <w:lang w:val="et-EE"/>
        </w:rPr>
        <w:t xml:space="preserve"> või </w:t>
      </w:r>
      <w:r>
        <w:rPr>
          <w:rFonts w:asciiTheme="minorHAnsi" w:hAnsiTheme="minorHAnsi" w:cstheme="minorHAnsi"/>
          <w:b/>
          <w:lang w:val="et-EE"/>
        </w:rPr>
        <w:t>-</w:t>
      </w:r>
      <w:r w:rsidR="0025104B" w:rsidRPr="00C07178">
        <w:rPr>
          <w:rFonts w:asciiTheme="minorHAnsi" w:hAnsiTheme="minorHAnsi" w:cstheme="minorHAnsi"/>
          <w:b/>
          <w:lang w:val="et-EE"/>
        </w:rPr>
        <w:t>õega on vaja ühendust võtta juhul,</w:t>
      </w:r>
    </w:p>
    <w:p w:rsidR="0025104B" w:rsidRPr="00C07178" w:rsidRDefault="0025104B" w:rsidP="00C07178">
      <w:pPr>
        <w:jc w:val="both"/>
        <w:rPr>
          <w:rFonts w:asciiTheme="minorHAnsi" w:hAnsiTheme="minorHAnsi" w:cstheme="minorHAnsi"/>
          <w:b/>
          <w:lang w:val="et-EE"/>
        </w:rPr>
      </w:pPr>
    </w:p>
    <w:p w:rsidR="0025104B" w:rsidRPr="00C07178" w:rsidRDefault="0025104B" w:rsidP="00C07178">
      <w:pPr>
        <w:numPr>
          <w:ilvl w:val="3"/>
          <w:numId w:val="20"/>
        </w:numPr>
        <w:tabs>
          <w:tab w:val="clear" w:pos="2880"/>
          <w:tab w:val="num" w:pos="720"/>
        </w:tabs>
        <w:ind w:left="720"/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kui alustate viimase ravimipudeli kasutamist, et teha uue ravimi tellimus;</w:t>
      </w:r>
    </w:p>
    <w:p w:rsidR="0025104B" w:rsidRPr="00C07178" w:rsidRDefault="0025104B" w:rsidP="00C07178">
      <w:pPr>
        <w:numPr>
          <w:ilvl w:val="3"/>
          <w:numId w:val="20"/>
        </w:numPr>
        <w:tabs>
          <w:tab w:val="clear" w:pos="2880"/>
          <w:tab w:val="num" w:pos="720"/>
        </w:tabs>
        <w:ind w:left="720"/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kui ravimi võtmise järel tekivad varasemast raskemad kõrvaltoimed;</w:t>
      </w:r>
    </w:p>
    <w:p w:rsidR="0025104B" w:rsidRPr="00C07178" w:rsidRDefault="0025104B" w:rsidP="00C07178">
      <w:pPr>
        <w:numPr>
          <w:ilvl w:val="3"/>
          <w:numId w:val="20"/>
        </w:numPr>
        <w:tabs>
          <w:tab w:val="clear" w:pos="2880"/>
          <w:tab w:val="num" w:pos="720"/>
        </w:tabs>
        <w:ind w:left="720"/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kui Teil kahtlustatakse mingit uut haigust või määratakse mingi uus pikaajaline ravi;</w:t>
      </w:r>
    </w:p>
    <w:p w:rsidR="0025104B" w:rsidRPr="00C07178" w:rsidRDefault="0025104B" w:rsidP="00C07178">
      <w:pPr>
        <w:numPr>
          <w:ilvl w:val="3"/>
          <w:numId w:val="20"/>
        </w:numPr>
        <w:tabs>
          <w:tab w:val="clear" w:pos="2880"/>
          <w:tab w:val="num" w:pos="720"/>
        </w:tabs>
        <w:ind w:left="720"/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kui Te ei tea, kas ja kuidas ravi jätkata;</w:t>
      </w:r>
    </w:p>
    <w:p w:rsidR="0025104B" w:rsidRPr="00C07178" w:rsidRDefault="0025104B" w:rsidP="00C07178">
      <w:pPr>
        <w:numPr>
          <w:ilvl w:val="3"/>
          <w:numId w:val="20"/>
        </w:numPr>
        <w:tabs>
          <w:tab w:val="clear" w:pos="2880"/>
          <w:tab w:val="num" w:pos="720"/>
        </w:tabs>
        <w:ind w:left="720"/>
        <w:jc w:val="both"/>
        <w:rPr>
          <w:rFonts w:asciiTheme="minorHAnsi" w:hAnsiTheme="minorHAnsi" w:cstheme="minorHAnsi"/>
          <w:lang w:val="et-EE"/>
        </w:rPr>
      </w:pPr>
      <w:r w:rsidRPr="00C07178">
        <w:rPr>
          <w:rFonts w:asciiTheme="minorHAnsi" w:hAnsiTheme="minorHAnsi" w:cstheme="minorHAnsi"/>
          <w:lang w:val="et-EE"/>
        </w:rPr>
        <w:t>kui otsustate ravi lõpetada.</w:t>
      </w:r>
    </w:p>
    <w:p w:rsidR="0025104B" w:rsidRDefault="0025104B" w:rsidP="00C07178">
      <w:pPr>
        <w:spacing w:after="160" w:line="259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A17034" w:rsidRPr="00A17034" w:rsidRDefault="00A17034" w:rsidP="00A17034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hAnsiTheme="minorHAnsi" w:cs="Segoe UI"/>
          <w:sz w:val="20"/>
          <w:szCs w:val="20"/>
          <w:lang w:val="et-EE"/>
        </w:rPr>
        <w:t>ITK933</w:t>
      </w:r>
    </w:p>
    <w:p w:rsidR="00A17034" w:rsidRPr="00A17034" w:rsidRDefault="00A17034" w:rsidP="00A17034">
      <w:pPr>
        <w:ind w:left="6372"/>
        <w:rPr>
          <w:rFonts w:asciiTheme="minorHAnsi" w:hAnsiTheme="minorHAnsi"/>
          <w:iCs/>
          <w:sz w:val="20"/>
          <w:szCs w:val="20"/>
        </w:rPr>
      </w:pPr>
      <w:r w:rsidRPr="00A17034">
        <w:rPr>
          <w:rFonts w:asciiTheme="minorHAnsi" w:hAnsiTheme="minorHAnsi"/>
          <w:iCs/>
          <w:sz w:val="20"/>
          <w:szCs w:val="20"/>
        </w:rPr>
        <w:t>Kinnitatud AS ITK ravikvaliteedi komisjoni</w:t>
      </w:r>
      <w:r>
        <w:rPr>
          <w:rFonts w:asciiTheme="minorHAnsi" w:hAnsiTheme="minorHAnsi"/>
          <w:iCs/>
          <w:sz w:val="20"/>
          <w:szCs w:val="20"/>
        </w:rPr>
        <w:t xml:space="preserve"> 03</w:t>
      </w:r>
      <w:r w:rsidRPr="00A17034">
        <w:rPr>
          <w:rFonts w:asciiTheme="minorHAnsi" w:hAnsiTheme="minorHAnsi"/>
          <w:iCs/>
          <w:sz w:val="20"/>
          <w:szCs w:val="20"/>
        </w:rPr>
        <w:t>.</w:t>
      </w:r>
      <w:r>
        <w:rPr>
          <w:rFonts w:asciiTheme="minorHAnsi" w:hAnsiTheme="minorHAnsi"/>
          <w:iCs/>
          <w:sz w:val="20"/>
          <w:szCs w:val="20"/>
        </w:rPr>
        <w:t>06</w:t>
      </w:r>
      <w:r w:rsidRPr="00A17034">
        <w:rPr>
          <w:rFonts w:asciiTheme="minorHAnsi" w:hAnsiTheme="minorHAnsi"/>
          <w:iCs/>
          <w:sz w:val="20"/>
          <w:szCs w:val="20"/>
        </w:rPr>
        <w:t xml:space="preserve">.2020 otsusega (protokoll nr </w:t>
      </w:r>
      <w:r>
        <w:rPr>
          <w:rFonts w:asciiTheme="minorHAnsi" w:hAnsiTheme="minorHAnsi"/>
          <w:iCs/>
          <w:sz w:val="20"/>
          <w:szCs w:val="20"/>
        </w:rPr>
        <w:t>5-20</w:t>
      </w:r>
      <w:r w:rsidRPr="00A17034">
        <w:rPr>
          <w:rFonts w:asciiTheme="minorHAnsi" w:hAnsiTheme="minorHAnsi"/>
          <w:iCs/>
          <w:sz w:val="20"/>
          <w:szCs w:val="20"/>
        </w:rPr>
        <w:t>)</w:t>
      </w:r>
    </w:p>
    <w:p w:rsidR="00A17034" w:rsidRDefault="00A17034" w:rsidP="00A17034">
      <w:pPr>
        <w:spacing w:after="160" w:line="259" w:lineRule="auto"/>
        <w:ind w:left="6372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:rsidR="004F75E2" w:rsidRPr="00C07178" w:rsidRDefault="00382270" w:rsidP="00A17034">
      <w:pPr>
        <w:spacing w:after="160"/>
        <w:ind w:left="5664" w:firstLine="708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sectPr w:rsidR="004F75E2" w:rsidRPr="00C07178" w:rsidSect="00DC5CA0">
      <w:headerReference w:type="default" r:id="rId11"/>
      <w:footerReference w:type="default" r:id="rId12"/>
      <w:footerReference w:type="first" r:id="rId13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90" w:rsidRDefault="00485F90" w:rsidP="00205B04">
      <w:r>
        <w:separator/>
      </w:r>
    </w:p>
  </w:endnote>
  <w:endnote w:type="continuationSeparator" w:id="0">
    <w:p w:rsidR="00485F90" w:rsidRDefault="00485F90" w:rsidP="002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43" w:rsidRDefault="002B7F43" w:rsidP="00037E58">
    <w:pPr>
      <w:pStyle w:val="Footer"/>
      <w:rPr>
        <w:rFonts w:asciiTheme="minorHAnsi" w:hAnsiTheme="minorHAnsi"/>
        <w:sz w:val="18"/>
        <w:szCs w:val="18"/>
      </w:rPr>
    </w:pPr>
  </w:p>
  <w:p w:rsidR="00037E58" w:rsidRDefault="00B605E9" w:rsidP="00037E58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A17034">
      <w:rPr>
        <w:rFonts w:asciiTheme="minorHAnsi" w:hAnsiTheme="minorHAnsi"/>
        <w:sz w:val="18"/>
        <w:szCs w:val="18"/>
      </w:rPr>
      <w:t>933</w:t>
    </w:r>
    <w:r w:rsidRPr="002D0084">
      <w:rPr>
        <w:rFonts w:asciiTheme="minorHAnsi" w:hAnsiTheme="minorHAnsi"/>
        <w:sz w:val="18"/>
        <w:szCs w:val="18"/>
      </w:rPr>
      <w:t>)</w:t>
    </w:r>
  </w:p>
  <w:p w:rsidR="00763F78" w:rsidRPr="002D0084" w:rsidRDefault="00B45B50" w:rsidP="002B7F43">
    <w:pPr>
      <w:pStyle w:val="Footer"/>
      <w:rPr>
        <w:rFonts w:asciiTheme="minorHAnsi" w:hAnsiTheme="minorHAnsi"/>
        <w:noProof/>
        <w:sz w:val="20"/>
        <w:szCs w:val="18"/>
      </w:rPr>
    </w:pPr>
    <w:r w:rsidRPr="00B45B50">
      <w:rPr>
        <w:rFonts w:asciiTheme="minorHAnsi" w:hAnsiTheme="minorHAnsi"/>
        <w:sz w:val="18"/>
      </w:rPr>
      <w:t>Keelealune allergeenispetsiifiline immuunravi</w:t>
    </w:r>
    <w:r w:rsidR="002B7F43" w:rsidRPr="00DC5CA0">
      <w:rPr>
        <w:rFonts w:asciiTheme="minorHAnsi" w:hAnsiTheme="minorHAnsi"/>
        <w:sz w:val="18"/>
      </w:rPr>
      <w:tab/>
    </w:r>
    <w:r w:rsidR="002B7F4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20"/>
          <w:szCs w:val="18"/>
        </w:rPr>
        <w:id w:val="-725840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200458">
          <w:rPr>
            <w:rFonts w:asciiTheme="minorHAnsi" w:hAnsiTheme="minorHAnsi"/>
            <w:sz w:val="20"/>
            <w:szCs w:val="18"/>
            <w:lang w:val="ru"/>
          </w:rPr>
          <w:instrText xml:space="preserve"> PAGE  \* Arabic  \* MERGEFORMAT </w:instrTex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382270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end"/>
        </w:r>
        <w:r w:rsidR="00200458">
          <w:rPr>
            <w:rFonts w:asciiTheme="minorHAnsi" w:hAnsiTheme="minorHAnsi"/>
            <w:sz w:val="20"/>
            <w:szCs w:val="18"/>
            <w:lang w:val="ru"/>
          </w:rPr>
          <w:t>/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200458">
          <w:rPr>
            <w:rFonts w:asciiTheme="minorHAnsi" w:hAnsiTheme="minorHAnsi"/>
            <w:sz w:val="20"/>
            <w:szCs w:val="18"/>
            <w:lang w:val="ru"/>
          </w:rPr>
          <w:instrText xml:space="preserve"> NUMPAGES  \* Arabic  \* MERGEFORMAT </w:instrTex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382270">
          <w:rPr>
            <w:rFonts w:asciiTheme="minorHAnsi" w:hAnsiTheme="minorHAnsi"/>
            <w:noProof/>
            <w:sz w:val="20"/>
            <w:szCs w:val="18"/>
            <w:lang w:val="ru"/>
          </w:rPr>
          <w:t>3</w:t>
        </w:r>
        <w:r w:rsidR="00200458">
          <w:rPr>
            <w:rFonts w:asciiTheme="minorHAnsi" w:hAnsiTheme="minorHAnsi"/>
            <w:sz w:val="20"/>
            <w:szCs w:val="18"/>
            <w:lang w:val="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90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B60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6B3" w:rsidRDefault="00382270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90" w:rsidRDefault="00485F90" w:rsidP="00205B04">
      <w:r>
        <w:separator/>
      </w:r>
    </w:p>
  </w:footnote>
  <w:footnote w:type="continuationSeparator" w:id="0">
    <w:p w:rsidR="00485F90" w:rsidRDefault="00485F90" w:rsidP="002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B605E9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603B" wp14:editId="51DA977E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382270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60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485F90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B605E9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2676B3" w:rsidRPr="00CC707D" w:rsidRDefault="00B605E9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:rsidR="002676B3" w:rsidRDefault="00382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C0"/>
    <w:multiLevelType w:val="hybridMultilevel"/>
    <w:tmpl w:val="9854413C"/>
    <w:lvl w:ilvl="0" w:tplc="EC46EC22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59D8"/>
    <w:multiLevelType w:val="hybridMultilevel"/>
    <w:tmpl w:val="0ED8C6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4C3"/>
    <w:multiLevelType w:val="hybridMultilevel"/>
    <w:tmpl w:val="267E31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B3A"/>
    <w:multiLevelType w:val="hybridMultilevel"/>
    <w:tmpl w:val="122A4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14F3"/>
    <w:multiLevelType w:val="hybridMultilevel"/>
    <w:tmpl w:val="C6764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EE8"/>
    <w:multiLevelType w:val="hybridMultilevel"/>
    <w:tmpl w:val="D78CD8D2"/>
    <w:lvl w:ilvl="0" w:tplc="8E026C30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ACC"/>
    <w:multiLevelType w:val="hybridMultilevel"/>
    <w:tmpl w:val="DD8855D6"/>
    <w:lvl w:ilvl="0" w:tplc="6D02653A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1017"/>
    <w:multiLevelType w:val="hybridMultilevel"/>
    <w:tmpl w:val="E92AA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02F1"/>
    <w:multiLevelType w:val="hybridMultilevel"/>
    <w:tmpl w:val="1728A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2AA"/>
    <w:multiLevelType w:val="hybridMultilevel"/>
    <w:tmpl w:val="91CCC7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A49"/>
    <w:multiLevelType w:val="hybridMultilevel"/>
    <w:tmpl w:val="13B8C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5600"/>
    <w:multiLevelType w:val="multilevel"/>
    <w:tmpl w:val="1D98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F7AC7"/>
    <w:multiLevelType w:val="hybridMultilevel"/>
    <w:tmpl w:val="0A885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806"/>
    <w:multiLevelType w:val="multilevel"/>
    <w:tmpl w:val="A772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6B376D"/>
    <w:multiLevelType w:val="hybridMultilevel"/>
    <w:tmpl w:val="09AEA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10186"/>
    <w:multiLevelType w:val="multilevel"/>
    <w:tmpl w:val="4C42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376F2A"/>
    <w:multiLevelType w:val="hybridMultilevel"/>
    <w:tmpl w:val="D61A6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00F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52FF"/>
    <w:multiLevelType w:val="multilevel"/>
    <w:tmpl w:val="A226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BE7A4C"/>
    <w:multiLevelType w:val="multilevel"/>
    <w:tmpl w:val="0A20E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86921"/>
    <w:multiLevelType w:val="multilevel"/>
    <w:tmpl w:val="EC8C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7"/>
  </w:num>
  <w:num w:numId="18">
    <w:abstractNumId w:val="14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12EDE"/>
    <w:rsid w:val="00017163"/>
    <w:rsid w:val="0003607C"/>
    <w:rsid w:val="00050B99"/>
    <w:rsid w:val="00053CD3"/>
    <w:rsid w:val="00084236"/>
    <w:rsid w:val="000A4A82"/>
    <w:rsid w:val="000F3447"/>
    <w:rsid w:val="0011756A"/>
    <w:rsid w:val="001548FF"/>
    <w:rsid w:val="0016454C"/>
    <w:rsid w:val="00191AA3"/>
    <w:rsid w:val="001A0D75"/>
    <w:rsid w:val="001C655C"/>
    <w:rsid w:val="001C6C29"/>
    <w:rsid w:val="00200458"/>
    <w:rsid w:val="00205B04"/>
    <w:rsid w:val="0022356F"/>
    <w:rsid w:val="00227A56"/>
    <w:rsid w:val="0025104B"/>
    <w:rsid w:val="00260900"/>
    <w:rsid w:val="00261A30"/>
    <w:rsid w:val="002B4A4C"/>
    <w:rsid w:val="002B7F43"/>
    <w:rsid w:val="0032387E"/>
    <w:rsid w:val="003350B6"/>
    <w:rsid w:val="00382270"/>
    <w:rsid w:val="003861C6"/>
    <w:rsid w:val="003B484A"/>
    <w:rsid w:val="00424C18"/>
    <w:rsid w:val="00443BBE"/>
    <w:rsid w:val="00485F90"/>
    <w:rsid w:val="005702F2"/>
    <w:rsid w:val="00583F30"/>
    <w:rsid w:val="005B2E8C"/>
    <w:rsid w:val="005D5BDB"/>
    <w:rsid w:val="005E3781"/>
    <w:rsid w:val="005F0D56"/>
    <w:rsid w:val="00663906"/>
    <w:rsid w:val="006978EC"/>
    <w:rsid w:val="006B161F"/>
    <w:rsid w:val="006E533E"/>
    <w:rsid w:val="006F0F07"/>
    <w:rsid w:val="006F4505"/>
    <w:rsid w:val="007C09C4"/>
    <w:rsid w:val="007D5EB4"/>
    <w:rsid w:val="00822923"/>
    <w:rsid w:val="008406E0"/>
    <w:rsid w:val="00861070"/>
    <w:rsid w:val="00863E11"/>
    <w:rsid w:val="008A07F2"/>
    <w:rsid w:val="008B4A7B"/>
    <w:rsid w:val="00942F63"/>
    <w:rsid w:val="0097792D"/>
    <w:rsid w:val="009B2870"/>
    <w:rsid w:val="009B52D0"/>
    <w:rsid w:val="009E59B0"/>
    <w:rsid w:val="00A056D6"/>
    <w:rsid w:val="00A17034"/>
    <w:rsid w:val="00A359BA"/>
    <w:rsid w:val="00A37829"/>
    <w:rsid w:val="00A601CC"/>
    <w:rsid w:val="00AB75D4"/>
    <w:rsid w:val="00AF0046"/>
    <w:rsid w:val="00B00EC5"/>
    <w:rsid w:val="00B35D06"/>
    <w:rsid w:val="00B45B50"/>
    <w:rsid w:val="00B605E9"/>
    <w:rsid w:val="00B71703"/>
    <w:rsid w:val="00B81BEC"/>
    <w:rsid w:val="00BD3D68"/>
    <w:rsid w:val="00C07178"/>
    <w:rsid w:val="00C64E5E"/>
    <w:rsid w:val="00C66654"/>
    <w:rsid w:val="00CA4827"/>
    <w:rsid w:val="00D2621A"/>
    <w:rsid w:val="00D90085"/>
    <w:rsid w:val="00D97DF0"/>
    <w:rsid w:val="00DC5CA0"/>
    <w:rsid w:val="00DD2E3E"/>
    <w:rsid w:val="00DD3B18"/>
    <w:rsid w:val="00E036A8"/>
    <w:rsid w:val="00E83308"/>
    <w:rsid w:val="00EB560D"/>
    <w:rsid w:val="00ED631F"/>
    <w:rsid w:val="00ED76EF"/>
    <w:rsid w:val="00EE1BF5"/>
    <w:rsid w:val="00EE4AA4"/>
    <w:rsid w:val="00EF4150"/>
    <w:rsid w:val="00EF7757"/>
    <w:rsid w:val="00F02528"/>
    <w:rsid w:val="00F20BF0"/>
    <w:rsid w:val="00F97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C8318B-E894-48C5-A165-4357CDA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17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17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F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0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k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itk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5C78-33A3-4448-8690-77BCB0E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4270</Characters>
  <Application>Microsoft Office Word</Application>
  <DocSecurity>4</DocSecurity>
  <Lines>133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Taevere</dc:creator>
  <cp:keywords/>
  <dc:description/>
  <cp:lastModifiedBy>Kristel Taevere</cp:lastModifiedBy>
  <cp:revision>2</cp:revision>
  <dcterms:created xsi:type="dcterms:W3CDTF">2020-06-30T13:01:00Z</dcterms:created>
  <dcterms:modified xsi:type="dcterms:W3CDTF">2020-06-30T13:01:00Z</dcterms:modified>
</cp:coreProperties>
</file>