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6309E7" w:rsidRDefault="006309E7" w:rsidP="00B94045">
      <w:pPr>
        <w:pStyle w:val="Heading1"/>
        <w:rPr>
          <w:rFonts w:eastAsia="Times New Roman"/>
          <w:b/>
          <w:bCs/>
          <w:color w:val="auto"/>
          <w:lang w:val="en-GB"/>
        </w:rPr>
      </w:pPr>
      <w:proofErr w:type="spellStart"/>
      <w:r w:rsidRPr="006309E7">
        <w:rPr>
          <w:rFonts w:eastAsia="Times New Roman"/>
          <w:b/>
          <w:bCs/>
          <w:color w:val="auto"/>
          <w:lang w:val="ru" w:bidi="ru-RU"/>
        </w:rPr>
        <w:t>Амблиопия</w:t>
      </w:r>
      <w:proofErr w:type="spellEnd"/>
      <w:r w:rsidRPr="006309E7">
        <w:rPr>
          <w:rFonts w:eastAsia="Times New Roman"/>
          <w:b/>
          <w:bCs/>
          <w:color w:val="auto"/>
          <w:lang w:val="en-GB"/>
        </w:rPr>
        <w:t xml:space="preserve"> 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Цель данного информационного листка - объяснить сущность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, принципы диагностики и лечения.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, или так называемый ленивый глаз, является распространенной детской проблемой, которая затрагивает от 2 до 4% населения и вызывает одностороннюю потерю или снижение зрения больше, чем любое другое заболевание глаз.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задержка развития зрения, которая может возникать без структурных изменений глаза. Из-за ухудшения остроты зрения глаз (реже оба глаза) посылает в зрительный центр головного мозга размытое изображение. Мозг учится видеть изображение смутно, даже в очках. Глаз может стать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амблиопичным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только в детстве. Своевременное лечение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обычно дает хорошие результаты, но при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нелеченных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случаях вызывает стойкое снижение остроты зрения на всю жизнь.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Развитие зрения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Человек видит уже с рождения, и по мере своего взросления зрение также продолжает развиваться. Мозг учится интерпретировать визуальные сигналы, поступающие от глаза. Развитие зрения длится до 7-8 лет. После этого прекращается развитие зрительных путей и части мозга, связанной со зрением, и дальнейшие изменения уже невозможны. Если по какой-либо причине ребенок не может нормально пользоваться одним или обоими глазами, то его мозг не научится правильно использовать зрение.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это нарушение развития мозга, а не проблема самого глаза.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лечится до 7-8 лет.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Причины возникновения </w:t>
      </w:r>
      <w:proofErr w:type="spellStart"/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амблиопии</w:t>
      </w:r>
      <w:proofErr w:type="spellEnd"/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</w:p>
    <w:p w:rsidR="006309E7" w:rsidRPr="006309E7" w:rsidRDefault="006309E7" w:rsidP="00380DC6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Косоглазие (страбизм)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Когда глаза смотрят не прямо, а фокусируются на разных вещах. Для того, чтобы предотвратить двоение в глазах, мозг подавляет изображение одного глаза, и из-за постоянного неиспользования этого глаза развивается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.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380DC6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Нарушение рефракции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Рефракционная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возникает в случае, когда выражено нарушение рефракции у ребенка и поэтому сила используемых линз для очков слишком большая или же разная для разных глаз. Мозг обычно подавляет изображение с того глаза, у которого имеется большая дальнозоркость (очки плюс), близорукость (очки минус) или же астигматизм (очки цилиндр).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Рефракционная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часто, но не всегда, сопровождается косоглазием. В этом случае проблемы со зрением выявляются на контроле зрения. Этот тип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</w:t>
      </w:r>
      <w:proofErr w:type="gram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может быть</w:t>
      </w:r>
      <w:proofErr w:type="gram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как односторонним, так и двусторонним и обычно хорошо поддается раннему лечению.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380DC6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lastRenderedPageBreak/>
        <w:t>Заболевания глаз, вызывающие снижение остроты зрения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Любое заболевание глаз у детей, которое ухудшает остроту зрения ребенка, может привести к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, потому что мозг не учится правильно использовать визуальные сигналы. Например,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, обусловленная невозможностью световой стимуляции глаза, при которой свет не проникает внутрь его (врожденная катаракта, помутнение роговицы, опущение нижнего века). По этой причине детей с данным видом заболевания глаз оперируют как можно раньше.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Диагностика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Диагноз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ставится при визуальном осмотре и осмотре глаз. В зависимости от возраста ребенка используются соответствующие таблицы остроты зрения.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Принципы лечения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Степень тяжести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может быть различной. При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одного глаза зрение двумя глазами достаточно хорошее, но возникает проблема с восприятием глубины (трехмерное зрение) или это восприятие отсутствует вообще. Лечение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очень важно, потому что человеку нужно два функционирующих глаза.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380DC6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Лечение глазных заболеваний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Для предупреждения развития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у детей следует как можно раньше начинать лечение глазного заболевания (катаракты, опущения века, воспаления и др.), закрывая при этом хорошо видящий глаз.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380DC6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Коррекция нарушений рефракции (близорукость или дальнозоркость, астигматизм)</w:t>
      </w: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br/>
        <w:t xml:space="preserve">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Ребенку обычно назначают очки или редко контактные линзы (линзу) для постоянного ношения.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6309E7" w:rsidRPr="006309E7" w:rsidRDefault="006309E7" w:rsidP="00380DC6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Развитие зрения в </w:t>
      </w:r>
      <w:proofErr w:type="spellStart"/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амблиопическом</w:t>
      </w:r>
      <w:proofErr w:type="spellEnd"/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 глазе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Принцип лечения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заключается в ограничении использования глаза с лучшим зрением. Для этого принуждают работать глаз с худшим зрением. Наиболее распространенное лечение заключается в том, чтобы закрыть лучше видящий глаз специальной наклейкой или очками - так называемое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окклюзионное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лечение. Время прикрытия здорового глаза в сутки зависит от возраста ребенка и тяжести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. Лечение продолжают до тех пор, пока острота зрения не вернется к норме или до тех пор, пока не станет ясно, что дальнейшее улучшение больше невозможно. Остроту зрения ребенка с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амблиопией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проверяют до 8 лет, чтобы убедиться в отсутствии рецидива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. В некоторых случаях необходимо поддерживающее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окклюзионное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лечение. Рекомендуется, чтобы ребенок во время лечения активно использовал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амблиопический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глаз, то есть рисовал, рассматривал картинки и т. д.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Прогноз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 большинстве своем, чем раньше было начато лечение ребенка с помощью закрытия здорового или лучше видящего глаза, тем лучше результаты данного лечения. Острота зрения может вернуться к норме, если лечение начато до 6-7 лет. У детей более старшего </w:t>
      </w: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lastRenderedPageBreak/>
        <w:t xml:space="preserve">возраста острота зрения может улучшиться, но добиться нормального зрения уже невозможно.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Приблизительно у каждого четвертого ребенка при прекращении лечения может возникнуть рецидив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, особенно в тех случаях, когда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окклюзионная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терапия была прекращена резко. В таких случаях следует продолжать лечение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прикрыванием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глаза.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 случае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окклюзионной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терапии важно точно следовать указаниям офтальмолога или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ортоптиста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. Самые большие ошибки в лечении заключаются в том, что лучше видящий глаз недостаточно долго или хорошо прикрывается (ребенок выглядывает из-за повязки). Зрение у более старшего ребенка уже полностью развито, и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окклюзионная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терапия больше не работает, поэтому тщательное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окклюзионное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лечение особенно важно у детей младшего возраста.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noProof/>
          <w:color w:val="231F20"/>
          <w:lang w:val="et-EE" w:eastAsia="et-EE"/>
        </w:rPr>
        <w:drawing>
          <wp:inline distT="0" distB="0" distL="0" distR="0" wp14:anchorId="4776B862" wp14:editId="308C55FA">
            <wp:extent cx="2403475" cy="1593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Лечение детской </w:t>
      </w:r>
      <w:proofErr w:type="spellStart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>амблиопии</w:t>
      </w:r>
      <w:proofErr w:type="spellEnd"/>
      <w:r w:rsidRPr="006309E7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трудное, но удивительно эффективное.</w:t>
      </w: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Pr="00D1091B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5402F1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2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ITK</w:t>
      </w:r>
      <w:r w:rsidR="00A947C1">
        <w:rPr>
          <w:rFonts w:asciiTheme="minorHAnsi" w:hAnsiTheme="minorHAnsi"/>
          <w:sz w:val="22"/>
          <w:szCs w:val="22"/>
          <w:lang w:val="et-EE"/>
        </w:rPr>
        <w:t>1085</w:t>
      </w:r>
    </w:p>
    <w:p w:rsidR="005402F1" w:rsidRPr="005402F1" w:rsidRDefault="005402F1" w:rsidP="005402F1">
      <w:pPr>
        <w:ind w:left="6372"/>
        <w:rPr>
          <w:rFonts w:asciiTheme="minorHAnsi" w:hAnsiTheme="minorHAnsi"/>
          <w:sz w:val="22"/>
          <w:szCs w:val="22"/>
          <w:lang w:val="ru-RU"/>
        </w:rPr>
      </w:pPr>
      <w:bookmarkStart w:id="0" w:name="_GoBack"/>
      <w:r w:rsidRPr="005402F1"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 w:rsidRPr="005402F1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</w:t>
      </w:r>
      <w:r w:rsidR="007C3B6B" w:rsidRPr="007C3B6B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>комиссией по качеству медицинских услуг</w:t>
      </w:r>
      <w:r w:rsidRPr="007C3B6B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 </w:t>
      </w:r>
    </w:p>
    <w:p w:rsidR="00331164" w:rsidRPr="005402F1" w:rsidRDefault="008C053E" w:rsidP="005402F1">
      <w:pPr>
        <w:ind w:left="6372"/>
        <w:rPr>
          <w:rFonts w:asciiTheme="minorHAnsi" w:hAnsiTheme="minorHAnsi"/>
          <w:i/>
          <w:iCs/>
          <w:sz w:val="22"/>
          <w:szCs w:val="22"/>
          <w:lang w:val="ru-RU"/>
        </w:rPr>
      </w:pPr>
      <w:r w:rsidRPr="008C053E">
        <w:rPr>
          <w:rFonts w:asciiTheme="minorHAnsi" w:hAnsiTheme="minorHAnsi"/>
          <w:sz w:val="22"/>
          <w:szCs w:val="22"/>
          <w:lang w:val="ru-RU"/>
        </w:rPr>
        <w:t>Восточно</w:t>
      </w:r>
      <w:r w:rsidR="005402F1" w:rsidRPr="005402F1">
        <w:rPr>
          <w:rFonts w:asciiTheme="minorHAnsi" w:hAnsiTheme="minorHAnsi"/>
          <w:sz w:val="22"/>
          <w:szCs w:val="22"/>
          <w:lang w:val="ru-RU"/>
        </w:rPr>
        <w:t>-Таллиннской центральной больницы</w:t>
      </w:r>
      <w:r w:rsidR="005402F1" w:rsidRPr="005402F1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A947C1">
        <w:rPr>
          <w:rFonts w:asciiTheme="minorHAnsi" w:hAnsiTheme="minorHAnsi"/>
          <w:sz w:val="22"/>
          <w:szCs w:val="22"/>
          <w:lang w:val="et-EE"/>
        </w:rPr>
        <w:t>04</w:t>
      </w:r>
      <w:r w:rsidR="004818EE">
        <w:rPr>
          <w:rFonts w:asciiTheme="minorHAnsi" w:hAnsiTheme="minorHAnsi"/>
          <w:sz w:val="22"/>
          <w:szCs w:val="22"/>
          <w:lang w:val="et-EE"/>
        </w:rPr>
        <w:t>.</w:t>
      </w:r>
      <w:r w:rsidR="00A947C1">
        <w:rPr>
          <w:rFonts w:asciiTheme="minorHAnsi" w:hAnsiTheme="minorHAnsi"/>
          <w:sz w:val="22"/>
          <w:szCs w:val="22"/>
          <w:lang w:val="et-EE"/>
        </w:rPr>
        <w:t>05</w:t>
      </w:r>
      <w:r w:rsidR="007C3B6B">
        <w:rPr>
          <w:rFonts w:asciiTheme="minorHAnsi" w:hAnsiTheme="minorHAnsi"/>
          <w:sz w:val="22"/>
          <w:szCs w:val="22"/>
          <w:lang w:val="et-EE"/>
        </w:rPr>
        <w:t>.20</w:t>
      </w:r>
      <w:r w:rsidR="004818EE">
        <w:rPr>
          <w:rFonts w:asciiTheme="minorHAnsi" w:hAnsiTheme="minorHAnsi"/>
          <w:sz w:val="22"/>
          <w:szCs w:val="22"/>
          <w:lang w:val="et-EE"/>
        </w:rPr>
        <w:t>22</w:t>
      </w:r>
      <w:r w:rsidR="007C3B6B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="007C3B6B" w:rsidRPr="007C3B6B">
        <w:rPr>
          <w:rFonts w:asciiTheme="minorHAnsi" w:hAnsiTheme="minorHAnsi"/>
          <w:sz w:val="22"/>
          <w:szCs w:val="22"/>
          <w:lang w:val="et-EE"/>
        </w:rPr>
        <w:t>протокол</w:t>
      </w:r>
      <w:proofErr w:type="spellEnd"/>
      <w:r w:rsidR="007C3B6B" w:rsidRPr="007C3B6B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14D3" w:rsidRPr="005402F1">
        <w:rPr>
          <w:rFonts w:asciiTheme="minorHAnsi" w:hAnsiTheme="minorHAnsi"/>
          <w:sz w:val="22"/>
          <w:szCs w:val="22"/>
          <w:lang w:val="et-EE"/>
        </w:rPr>
        <w:t xml:space="preserve">№ </w:t>
      </w:r>
      <w:r w:rsidR="00A947C1">
        <w:rPr>
          <w:rFonts w:asciiTheme="minorHAnsi" w:hAnsiTheme="minorHAnsi"/>
          <w:sz w:val="22"/>
          <w:szCs w:val="22"/>
          <w:lang w:val="et-EE"/>
        </w:rPr>
        <w:t>7</w:t>
      </w:r>
      <w:r w:rsidR="00A33944">
        <w:rPr>
          <w:rFonts w:asciiTheme="minorHAnsi" w:hAnsiTheme="minorHAnsi"/>
          <w:sz w:val="22"/>
          <w:szCs w:val="22"/>
          <w:lang w:val="et-EE"/>
        </w:rPr>
        <w:t>-22</w:t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).</w:t>
      </w:r>
    </w:p>
    <w:bookmarkEnd w:id="0"/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43" w:rsidRDefault="009B0F43" w:rsidP="002676B3">
      <w:r>
        <w:separator/>
      </w:r>
    </w:p>
  </w:endnote>
  <w:endnote w:type="continuationSeparator" w:id="0">
    <w:p w:rsidR="009B0F43" w:rsidRDefault="009B0F43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A947C1">
      <w:rPr>
        <w:rFonts w:asciiTheme="minorHAnsi" w:hAnsiTheme="minorHAnsi"/>
        <w:sz w:val="18"/>
        <w:szCs w:val="18"/>
        <w:lang w:val="et-EE"/>
      </w:rPr>
      <w:t>1085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6309E7" w:rsidP="008C053E">
    <w:pPr>
      <w:pStyle w:val="Footer"/>
      <w:rPr>
        <w:rFonts w:asciiTheme="minorHAnsi" w:hAnsiTheme="minorHAnsi"/>
        <w:noProof/>
        <w:sz w:val="20"/>
        <w:szCs w:val="18"/>
      </w:rPr>
    </w:pPr>
    <w:proofErr w:type="spellStart"/>
    <w:r w:rsidRPr="006309E7">
      <w:rPr>
        <w:rFonts w:asciiTheme="minorHAnsi" w:hAnsiTheme="minorHAnsi" w:cs="Arial"/>
        <w:bCs/>
        <w:kern w:val="36"/>
        <w:sz w:val="18"/>
        <w:szCs w:val="18"/>
        <w:lang w:val="ru-RU"/>
      </w:rPr>
      <w:t>Амблиопия</w:t>
    </w:r>
    <w:proofErr w:type="spellEnd"/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A947C1">
          <w:rPr>
            <w:rFonts w:asciiTheme="minorHAnsi" w:hAnsiTheme="minorHAnsi"/>
            <w:noProof/>
            <w:sz w:val="20"/>
            <w:szCs w:val="18"/>
            <w:lang w:val="ru"/>
          </w:rPr>
          <w:t>3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9A5912">
          <w:rPr>
            <w:rFonts w:asciiTheme="minorHAnsi" w:hAnsiTheme="minorHAnsi"/>
            <w:noProof/>
            <w:sz w:val="20"/>
            <w:szCs w:val="18"/>
            <w:lang w:val="et-EE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43" w:rsidRDefault="009B0F43" w:rsidP="002676B3">
      <w:r>
        <w:separator/>
      </w:r>
    </w:p>
  </w:footnote>
  <w:footnote w:type="continuationSeparator" w:id="0">
    <w:p w:rsidR="009B0F43" w:rsidRDefault="009B0F43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836A02"/>
    <w:multiLevelType w:val="hybridMultilevel"/>
    <w:tmpl w:val="B9E2A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42B6"/>
    <w:multiLevelType w:val="hybridMultilevel"/>
    <w:tmpl w:val="99ACD54E"/>
    <w:lvl w:ilvl="0" w:tplc="7758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BB8"/>
    <w:rsid w:val="001B6A1C"/>
    <w:rsid w:val="001B6D2E"/>
    <w:rsid w:val="001D3C3D"/>
    <w:rsid w:val="001E51DC"/>
    <w:rsid w:val="001F29C0"/>
    <w:rsid w:val="001F2E1C"/>
    <w:rsid w:val="001F68B7"/>
    <w:rsid w:val="00200544"/>
    <w:rsid w:val="0020287B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3F75"/>
    <w:rsid w:val="002676B3"/>
    <w:rsid w:val="002717B5"/>
    <w:rsid w:val="00285BD9"/>
    <w:rsid w:val="00291520"/>
    <w:rsid w:val="00292506"/>
    <w:rsid w:val="002930BB"/>
    <w:rsid w:val="002B2C65"/>
    <w:rsid w:val="002C6DC8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0DC6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35B88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1FDB"/>
    <w:rsid w:val="005B48B6"/>
    <w:rsid w:val="005D52FE"/>
    <w:rsid w:val="006165C6"/>
    <w:rsid w:val="00617697"/>
    <w:rsid w:val="006309E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262F2"/>
    <w:rsid w:val="00830A6E"/>
    <w:rsid w:val="00852A1F"/>
    <w:rsid w:val="00864580"/>
    <w:rsid w:val="00865FBA"/>
    <w:rsid w:val="00872499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A0D07"/>
    <w:rsid w:val="009A5912"/>
    <w:rsid w:val="009A7C7B"/>
    <w:rsid w:val="009B0F43"/>
    <w:rsid w:val="009C302C"/>
    <w:rsid w:val="009C3AE2"/>
    <w:rsid w:val="009D1D63"/>
    <w:rsid w:val="009D422E"/>
    <w:rsid w:val="009E1DE1"/>
    <w:rsid w:val="009E5830"/>
    <w:rsid w:val="009F168D"/>
    <w:rsid w:val="009F47EE"/>
    <w:rsid w:val="00A1657C"/>
    <w:rsid w:val="00A237E6"/>
    <w:rsid w:val="00A239F5"/>
    <w:rsid w:val="00A27261"/>
    <w:rsid w:val="00A27FB9"/>
    <w:rsid w:val="00A33944"/>
    <w:rsid w:val="00A4195B"/>
    <w:rsid w:val="00A44D12"/>
    <w:rsid w:val="00A510CB"/>
    <w:rsid w:val="00A5242B"/>
    <w:rsid w:val="00A5277C"/>
    <w:rsid w:val="00A53E4F"/>
    <w:rsid w:val="00A5598B"/>
    <w:rsid w:val="00A80B62"/>
    <w:rsid w:val="00A86E44"/>
    <w:rsid w:val="00A93961"/>
    <w:rsid w:val="00A947C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625B3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1091B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96CC7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25C9B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CC11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1"/>
      </w:numPr>
    </w:pPr>
  </w:style>
  <w:style w:type="numbering" w:customStyle="1" w:styleId="2">
    <w:name w:val="Импортированный стиль 2"/>
    <w:rsid w:val="00DE2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5C52296C-4EAD-46D3-BD77-EDEE14C5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862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5</cp:revision>
  <cp:lastPrinted>2018-05-18T08:32:00Z</cp:lastPrinted>
  <dcterms:created xsi:type="dcterms:W3CDTF">2022-04-25T07:59:00Z</dcterms:created>
  <dcterms:modified xsi:type="dcterms:W3CDTF">2022-05-09T11:25:00Z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